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76284" w:rsidRPr="00976284" w14:paraId="41D1EA6C" w14:textId="77777777" w:rsidTr="00434EDD">
        <w:trPr>
          <w:trHeight w:val="144"/>
        </w:trPr>
        <w:tc>
          <w:tcPr>
            <w:tcW w:w="9634" w:type="dxa"/>
          </w:tcPr>
          <w:p w14:paraId="0544F75A" w14:textId="1F42B7CF" w:rsidR="00434EDD" w:rsidRPr="00D56994" w:rsidRDefault="00434EDD" w:rsidP="00D56994">
            <w:pPr>
              <w:pStyle w:val="a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6994">
              <w:rPr>
                <w:rFonts w:ascii="Arial" w:hAnsi="Arial" w:cs="Arial"/>
                <w:b/>
                <w:sz w:val="28"/>
                <w:szCs w:val="28"/>
              </w:rPr>
              <w:t>Инструкция по применению</w:t>
            </w:r>
          </w:p>
        </w:tc>
      </w:tr>
      <w:tr w:rsidR="00976284" w:rsidRPr="00976284" w14:paraId="21EB63A3" w14:textId="77777777" w:rsidTr="00434EDD">
        <w:trPr>
          <w:trHeight w:val="203"/>
        </w:trPr>
        <w:tc>
          <w:tcPr>
            <w:tcW w:w="9634" w:type="dxa"/>
          </w:tcPr>
          <w:p w14:paraId="1A5AA151" w14:textId="3A1450A6" w:rsidR="00434EDD" w:rsidRPr="00976284" w:rsidRDefault="00434EDD" w:rsidP="009C74B5">
            <w:pPr>
              <w:pStyle w:val="a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Редакция 0</w:t>
            </w:r>
            <w:r w:rsidRPr="00976284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976284">
              <w:rPr>
                <w:rFonts w:ascii="Arial" w:hAnsi="Arial" w:cs="Arial"/>
                <w:sz w:val="18"/>
                <w:szCs w:val="18"/>
              </w:rPr>
              <w:t xml:space="preserve"> от 2019.1</w:t>
            </w:r>
            <w:r w:rsidRPr="00976284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976284">
              <w:rPr>
                <w:rFonts w:ascii="Arial" w:hAnsi="Arial" w:cs="Arial"/>
                <w:sz w:val="18"/>
                <w:szCs w:val="18"/>
              </w:rPr>
              <w:t>.09.</w:t>
            </w:r>
          </w:p>
        </w:tc>
      </w:tr>
      <w:tr w:rsidR="00976284" w:rsidRPr="00976284" w14:paraId="2B8B97EF" w14:textId="77777777" w:rsidTr="00434EDD">
        <w:tc>
          <w:tcPr>
            <w:tcW w:w="9634" w:type="dxa"/>
          </w:tcPr>
          <w:p w14:paraId="634A116E" w14:textId="76E33D3C" w:rsidR="00434EDD" w:rsidRPr="00976284" w:rsidRDefault="00434EDD" w:rsidP="00D56994">
            <w:pPr>
              <w:pStyle w:val="a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284">
              <w:rPr>
                <w:rFonts w:ascii="Arial" w:hAnsi="Arial" w:cs="Arial"/>
                <w:sz w:val="20"/>
                <w:szCs w:val="20"/>
              </w:rPr>
              <w:t xml:space="preserve">Имплантат </w:t>
            </w:r>
            <w:proofErr w:type="spellStart"/>
            <w:r w:rsidRPr="00976284">
              <w:rPr>
                <w:rFonts w:ascii="Arial" w:hAnsi="Arial" w:cs="Arial"/>
                <w:sz w:val="20"/>
                <w:szCs w:val="20"/>
              </w:rPr>
              <w:t>вязкоэластичный</w:t>
            </w:r>
            <w:proofErr w:type="spellEnd"/>
            <w:r w:rsidRPr="00976284">
              <w:rPr>
                <w:rFonts w:ascii="Arial" w:hAnsi="Arial" w:cs="Arial"/>
                <w:sz w:val="20"/>
                <w:szCs w:val="20"/>
              </w:rPr>
              <w:t xml:space="preserve"> стерильный для внутрисуставной инъекции</w:t>
            </w:r>
            <w:bookmarkStart w:id="0" w:name="_Hlk528941429"/>
            <w:r w:rsidRPr="00976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6284">
              <w:rPr>
                <w:rFonts w:ascii="Arial" w:hAnsi="Arial" w:cs="Arial"/>
                <w:b/>
                <w:bCs/>
                <w:sz w:val="20"/>
                <w:szCs w:val="20"/>
              </w:rPr>
              <w:t>ФЛЕКСОТРОН</w:t>
            </w:r>
            <w:r w:rsidRPr="0097628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®</w:t>
            </w:r>
            <w:r w:rsidRPr="009762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Ультра (</w:t>
            </w:r>
            <w:r w:rsidRPr="009762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FLEXOTRON</w:t>
            </w:r>
            <w:r w:rsidRPr="0097628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®</w:t>
            </w:r>
            <w:r w:rsidRPr="009762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762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Ultra</w:t>
            </w:r>
            <w:r w:rsidRPr="00976284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976284">
              <w:rPr>
                <w:rFonts w:ascii="Arial" w:hAnsi="Arial" w:cs="Arial"/>
                <w:sz w:val="20"/>
                <w:szCs w:val="20"/>
              </w:rPr>
              <w:t>гиалуронат</w:t>
            </w:r>
            <w:proofErr w:type="spellEnd"/>
            <w:r w:rsidRPr="00976284">
              <w:rPr>
                <w:rFonts w:ascii="Arial" w:hAnsi="Arial" w:cs="Arial"/>
                <w:sz w:val="20"/>
                <w:szCs w:val="20"/>
              </w:rPr>
              <w:t xml:space="preserve"> натрия 2,5 %, 25 мг/мл, 4,8 мл.</w:t>
            </w:r>
            <w:bookmarkEnd w:id="0"/>
          </w:p>
        </w:tc>
      </w:tr>
      <w:tr w:rsidR="00976284" w:rsidRPr="00976284" w14:paraId="77036019" w14:textId="77777777" w:rsidTr="00434EDD">
        <w:tc>
          <w:tcPr>
            <w:tcW w:w="9634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4"/>
              <w:gridCol w:w="2873"/>
            </w:tblGrid>
            <w:tr w:rsidR="00976284" w:rsidRPr="00976284" w14:paraId="68C20026" w14:textId="77777777" w:rsidTr="000E687E">
              <w:trPr>
                <w:trHeight w:val="241"/>
              </w:trPr>
              <w:tc>
                <w:tcPr>
                  <w:tcW w:w="3944" w:type="dxa"/>
                  <w:vAlign w:val="bottom"/>
                </w:tcPr>
                <w:p w14:paraId="30460164" w14:textId="302578AB" w:rsidR="00434EDD" w:rsidRPr="00976284" w:rsidRDefault="00434EDD" w:rsidP="00037AA4">
                  <w:pPr>
                    <w:pStyle w:val="a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b/>
                      <w:sz w:val="20"/>
                      <w:szCs w:val="18"/>
                    </w:rPr>
                    <w:t>Состав ФЛЕКСОТРОН</w:t>
                  </w:r>
                  <w:r w:rsidRPr="00976284">
                    <w:rPr>
                      <w:rFonts w:ascii="Arial" w:hAnsi="Arial" w:cs="Arial"/>
                      <w:b/>
                      <w:sz w:val="20"/>
                      <w:szCs w:val="18"/>
                      <w:vertAlign w:val="superscript"/>
                    </w:rPr>
                    <w:t>®</w:t>
                  </w:r>
                  <w:r w:rsidRPr="00976284">
                    <w:rPr>
                      <w:rFonts w:ascii="Arial" w:hAnsi="Arial" w:cs="Arial"/>
                      <w:b/>
                      <w:sz w:val="20"/>
                      <w:szCs w:val="18"/>
                    </w:rPr>
                    <w:t xml:space="preserve"> Уль</w:t>
                  </w:r>
                  <w:r w:rsidR="005B07A3">
                    <w:rPr>
                      <w:rFonts w:ascii="Arial" w:hAnsi="Arial" w:cs="Arial"/>
                      <w:b/>
                      <w:sz w:val="20"/>
                      <w:szCs w:val="18"/>
                    </w:rPr>
                    <w:t>т</w:t>
                  </w:r>
                  <w:r w:rsidRPr="00976284">
                    <w:rPr>
                      <w:rFonts w:ascii="Arial" w:hAnsi="Arial" w:cs="Arial"/>
                      <w:b/>
                      <w:sz w:val="20"/>
                      <w:szCs w:val="18"/>
                    </w:rPr>
                    <w:t>ра</w:t>
                  </w:r>
                  <w:r w:rsidRPr="00976284">
                    <w:rPr>
                      <w:rFonts w:ascii="Arial" w:hAnsi="Arial" w:cs="Arial"/>
                      <w:b/>
                      <w:sz w:val="20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873" w:type="dxa"/>
                </w:tcPr>
                <w:p w14:paraId="08B02682" w14:textId="77777777" w:rsidR="00434EDD" w:rsidRPr="00976284" w:rsidRDefault="00434EDD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76284" w:rsidRPr="00976284" w14:paraId="6A719583" w14:textId="77777777" w:rsidTr="000E687E">
              <w:trPr>
                <w:trHeight w:val="121"/>
              </w:trPr>
              <w:tc>
                <w:tcPr>
                  <w:tcW w:w="3944" w:type="dxa"/>
                </w:tcPr>
                <w:p w14:paraId="4B83548C" w14:textId="2281AD4A" w:rsidR="00434EDD" w:rsidRPr="00976284" w:rsidRDefault="00434EDD" w:rsidP="00037AA4">
                  <w:pPr>
                    <w:pStyle w:val="a0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b/>
                      <w:sz w:val="18"/>
                      <w:szCs w:val="18"/>
                    </w:rPr>
                    <w:t>В 1 мл содержится:</w:t>
                  </w:r>
                </w:p>
              </w:tc>
              <w:tc>
                <w:tcPr>
                  <w:tcW w:w="2873" w:type="dxa"/>
                  <w:vAlign w:val="center"/>
                </w:tcPr>
                <w:p w14:paraId="084F6F68" w14:textId="77777777" w:rsidR="00434EDD" w:rsidRPr="00976284" w:rsidRDefault="00434EDD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76284" w:rsidRPr="00976284" w14:paraId="60DF5CCA" w14:textId="77777777" w:rsidTr="000E687E">
              <w:trPr>
                <w:trHeight w:val="121"/>
              </w:trPr>
              <w:tc>
                <w:tcPr>
                  <w:tcW w:w="3944" w:type="dxa"/>
                </w:tcPr>
                <w:p w14:paraId="41A7B75F" w14:textId="73F791BD" w:rsidR="00434EDD" w:rsidRPr="00976284" w:rsidRDefault="00434EDD" w:rsidP="00037AA4">
                  <w:pPr>
                    <w:pStyle w:val="a0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Гиалуронат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</w:tc>
              <w:tc>
                <w:tcPr>
                  <w:tcW w:w="2873" w:type="dxa"/>
                </w:tcPr>
                <w:p w14:paraId="5A329086" w14:textId="480E829A" w:rsidR="00434EDD" w:rsidRPr="00976284" w:rsidRDefault="00434EDD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2,5% / 25 мг</w:t>
                  </w:r>
                </w:p>
              </w:tc>
            </w:tr>
            <w:tr w:rsidR="00976284" w:rsidRPr="00976284" w14:paraId="3EB565E6" w14:textId="77777777" w:rsidTr="000E687E">
              <w:trPr>
                <w:trHeight w:val="121"/>
              </w:trPr>
              <w:tc>
                <w:tcPr>
                  <w:tcW w:w="3944" w:type="dxa"/>
                </w:tcPr>
                <w:p w14:paraId="71036218" w14:textId="5012EE89" w:rsidR="00434EDD" w:rsidRPr="00976284" w:rsidRDefault="00434EDD" w:rsidP="00037AA4">
                  <w:pPr>
                    <w:pStyle w:val="a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Хлорид натрия</w:t>
                  </w:r>
                </w:p>
              </w:tc>
              <w:tc>
                <w:tcPr>
                  <w:tcW w:w="2873" w:type="dxa"/>
                </w:tcPr>
                <w:p w14:paraId="29D72BBB" w14:textId="3F3ECF17" w:rsidR="00434EDD" w:rsidRPr="00976284" w:rsidRDefault="00434EDD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6,500 мг</w:t>
                  </w:r>
                </w:p>
              </w:tc>
            </w:tr>
            <w:tr w:rsidR="00976284" w:rsidRPr="00976284" w14:paraId="29B3B473" w14:textId="77777777" w:rsidTr="000E687E">
              <w:trPr>
                <w:trHeight w:val="121"/>
              </w:trPr>
              <w:tc>
                <w:tcPr>
                  <w:tcW w:w="3944" w:type="dxa"/>
                </w:tcPr>
                <w:p w14:paraId="6E1E7917" w14:textId="77777777" w:rsidR="00434EDD" w:rsidRPr="00976284" w:rsidRDefault="00434EDD" w:rsidP="00037AA4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Дигидрат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гидрофосфата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  <w:p w14:paraId="407100D6" w14:textId="14FDF110" w:rsidR="00434EDD" w:rsidRPr="00976284" w:rsidRDefault="00434EDD" w:rsidP="00037AA4">
                  <w:pPr>
                    <w:pStyle w:val="a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Na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HPO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4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* 2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2873" w:type="dxa"/>
                </w:tcPr>
                <w:p w14:paraId="1A80CAC5" w14:textId="77777777" w:rsidR="00434EDD" w:rsidRPr="00976284" w:rsidRDefault="00434EDD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A39E284" w14:textId="59EFBA23" w:rsidR="00434EDD" w:rsidRPr="00976284" w:rsidRDefault="00434EDD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0,563 мг</w:t>
                  </w:r>
                </w:p>
              </w:tc>
            </w:tr>
            <w:tr w:rsidR="00976284" w:rsidRPr="00976284" w14:paraId="204B13E7" w14:textId="77777777" w:rsidTr="000E687E">
              <w:trPr>
                <w:trHeight w:val="121"/>
              </w:trPr>
              <w:tc>
                <w:tcPr>
                  <w:tcW w:w="3944" w:type="dxa"/>
                </w:tcPr>
                <w:p w14:paraId="7B474880" w14:textId="77777777" w:rsidR="00434EDD" w:rsidRPr="00976284" w:rsidRDefault="00434EDD" w:rsidP="00037AA4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Дигидрат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дигидрофосфата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натрия</w:t>
                  </w:r>
                </w:p>
                <w:p w14:paraId="6FC2DEF6" w14:textId="6D159CEB" w:rsidR="00434EDD" w:rsidRPr="00976284" w:rsidRDefault="00434EDD" w:rsidP="00037AA4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NaH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PO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4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* 2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vertAlign w:val="subscript"/>
                    </w:rPr>
                    <w:t>2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</w:t>
                  </w:r>
                </w:p>
              </w:tc>
              <w:tc>
                <w:tcPr>
                  <w:tcW w:w="2873" w:type="dxa"/>
                </w:tcPr>
                <w:p w14:paraId="5EE053BE" w14:textId="77777777" w:rsidR="00434EDD" w:rsidRPr="00976284" w:rsidRDefault="00434EDD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1F071D1" w14:textId="5EF9791D" w:rsidR="00434EDD" w:rsidRPr="00976284" w:rsidRDefault="00434EDD" w:rsidP="00037AA4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0,045 мг</w:t>
                  </w:r>
                </w:p>
              </w:tc>
            </w:tr>
            <w:tr w:rsidR="00976284" w:rsidRPr="00976284" w14:paraId="6C16D5F5" w14:textId="77777777" w:rsidTr="009C2856">
              <w:trPr>
                <w:trHeight w:val="121"/>
              </w:trPr>
              <w:tc>
                <w:tcPr>
                  <w:tcW w:w="3944" w:type="dxa"/>
                  <w:hideMark/>
                </w:tcPr>
                <w:p w14:paraId="706675EA" w14:textId="77777777" w:rsidR="00434EDD" w:rsidRPr="00976284" w:rsidRDefault="00434EDD" w:rsidP="009C2856">
                  <w:pPr>
                    <w:pStyle w:val="a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Вода для инъекций</w:t>
                  </w:r>
                </w:p>
              </w:tc>
              <w:tc>
                <w:tcPr>
                  <w:tcW w:w="2873" w:type="dxa"/>
                </w:tcPr>
                <w:p w14:paraId="25C69882" w14:textId="77777777" w:rsidR="00434EDD" w:rsidRPr="00976284" w:rsidRDefault="00434EDD" w:rsidP="009C2856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до объема 1 мл</w:t>
                  </w:r>
                </w:p>
                <w:p w14:paraId="4ED56880" w14:textId="77777777" w:rsidR="00434EDD" w:rsidRPr="00976284" w:rsidRDefault="00434EDD" w:rsidP="009C2856">
                  <w:pPr>
                    <w:pStyle w:val="a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D02299E" w14:textId="77777777" w:rsidR="00434EDD" w:rsidRPr="00976284" w:rsidRDefault="00434EDD" w:rsidP="00CA58D0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6284" w:rsidRPr="00976284" w14:paraId="0DA779A6" w14:textId="77777777" w:rsidTr="00434EDD">
        <w:tc>
          <w:tcPr>
            <w:tcW w:w="9634" w:type="dxa"/>
          </w:tcPr>
          <w:p w14:paraId="5C5AA01B" w14:textId="1A68A889" w:rsidR="00434EDD" w:rsidRPr="00976284" w:rsidRDefault="00434EDD" w:rsidP="009068D8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Комплект поставки и упаковка</w:t>
            </w:r>
          </w:p>
          <w:p w14:paraId="0014C8EB" w14:textId="3496778B" w:rsidR="00434EDD" w:rsidRPr="00976284" w:rsidRDefault="00434EDD" w:rsidP="009068D8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ФЛЕКСОТРОН</w:t>
            </w:r>
            <w:r w:rsidRPr="00976284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976284">
              <w:rPr>
                <w:rFonts w:ascii="Arial" w:hAnsi="Arial" w:cs="Arial"/>
                <w:sz w:val="18"/>
                <w:szCs w:val="18"/>
              </w:rPr>
              <w:t xml:space="preserve"> Ультра поставляется конечному пользователю в составе из следующих компонентов:</w:t>
            </w:r>
          </w:p>
          <w:p w14:paraId="493F7063" w14:textId="77777777" w:rsidR="00434EDD" w:rsidRPr="00976284" w:rsidRDefault="00434EDD" w:rsidP="009C74B5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- имплантат (жидкая смесь компон</w:t>
            </w:r>
            <w:bookmarkStart w:id="1" w:name="_GoBack"/>
            <w:bookmarkEnd w:id="1"/>
            <w:r w:rsidRPr="00976284">
              <w:rPr>
                <w:rFonts w:ascii="Arial" w:hAnsi="Arial" w:cs="Arial"/>
                <w:sz w:val="18"/>
                <w:szCs w:val="18"/>
              </w:rPr>
              <w:t>ентов, см. таблицу выше) в предварительно заполненном шприце в блистерной упаковке;</w:t>
            </w:r>
          </w:p>
          <w:p w14:paraId="21C764D4" w14:textId="77777777" w:rsidR="00434EDD" w:rsidRPr="00976284" w:rsidRDefault="00434EDD" w:rsidP="009C74B5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- 3 имплантационных стикера;</w:t>
            </w:r>
          </w:p>
          <w:p w14:paraId="7E7FF358" w14:textId="7973CAD7" w:rsidR="00434EDD" w:rsidRPr="00976284" w:rsidRDefault="00434EDD" w:rsidP="009C74B5">
            <w:pPr>
              <w:pStyle w:val="a0"/>
              <w:jc w:val="left"/>
              <w:rPr>
                <w:rFonts w:ascii="Arial" w:hAnsi="Arial" w:cs="Arial"/>
                <w:b/>
                <w:sz w:val="20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- инструкция по применению.</w:t>
            </w:r>
          </w:p>
        </w:tc>
      </w:tr>
      <w:tr w:rsidR="00976284" w:rsidRPr="00976284" w14:paraId="50DACEA8" w14:textId="77777777" w:rsidTr="00434EDD">
        <w:trPr>
          <w:trHeight w:val="6173"/>
        </w:trPr>
        <w:tc>
          <w:tcPr>
            <w:tcW w:w="9634" w:type="dxa"/>
          </w:tcPr>
          <w:p w14:paraId="71042E18" w14:textId="3185A6C8" w:rsidR="00434EDD" w:rsidRPr="00976284" w:rsidRDefault="00434EDD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Описание, технические и функциональные характеристики</w:t>
            </w:r>
          </w:p>
          <w:p w14:paraId="3C027B4D" w14:textId="24BA55D7" w:rsidR="00434EDD" w:rsidRPr="00976284" w:rsidRDefault="00434EDD" w:rsidP="0039393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ФЛЕКСОТРОН</w:t>
            </w:r>
            <w:r w:rsidRPr="00976284">
              <w:rPr>
                <w:rFonts w:ascii="Arial" w:hAnsi="Arial" w:cs="Arial"/>
                <w:b/>
                <w:sz w:val="20"/>
                <w:szCs w:val="18"/>
                <w:vertAlign w:val="superscript"/>
              </w:rPr>
              <w:t>®</w:t>
            </w:r>
            <w:r w:rsidRPr="00976284">
              <w:rPr>
                <w:rFonts w:ascii="Arial" w:hAnsi="Arial" w:cs="Arial"/>
                <w:sz w:val="18"/>
                <w:szCs w:val="18"/>
              </w:rPr>
              <w:t xml:space="preserve"> Ультра – протез синовиальной жидкости, стерильный, прозрачный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вязкоэластичный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гель, содержащий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гиалуронат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натрия, получаемый методом бактериальной ферментации, в фосфатном буфере.</w:t>
            </w:r>
          </w:p>
          <w:p w14:paraId="227D2086" w14:textId="77777777" w:rsidR="00434EDD" w:rsidRPr="00976284" w:rsidRDefault="00434EDD" w:rsidP="0039393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Имплантат не содержит лекарственного средства для медицинского применения, материалов животного и (или) человеческого происхождения.</w:t>
            </w:r>
          </w:p>
          <w:p w14:paraId="2E725B34" w14:textId="461B177E" w:rsidR="00434EDD" w:rsidRPr="00976284" w:rsidRDefault="00434EDD" w:rsidP="00393936">
            <w:pPr>
              <w:pStyle w:val="a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Технические спецификации:</w:t>
            </w:r>
          </w:p>
          <w:tbl>
            <w:tblPr>
              <w:tblStyle w:val="a4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3797"/>
              <w:gridCol w:w="3260"/>
            </w:tblGrid>
            <w:tr w:rsidR="00976284" w:rsidRPr="00976284" w14:paraId="636477AF" w14:textId="77777777" w:rsidTr="009C74B5"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2E406" w14:textId="0676CAB9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Стерильность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292BE" w14:textId="164BC565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стерильно; стерилизовано 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автоклавированием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по стандарту EN ISO 17665-1 с уровнем обеспечения стерильности (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SAL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) 10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-6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976284" w:rsidRPr="00976284" w14:paraId="0A4FCE38" w14:textId="77777777" w:rsidTr="00280951"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19333" w14:textId="0D26B66A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8EB83" w14:textId="2130AB4B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чистый гомогенный вязкоупругий раствор (гель)</w:t>
                  </w:r>
                </w:p>
              </w:tc>
            </w:tr>
            <w:tr w:rsidR="00976284" w:rsidRPr="00976284" w14:paraId="328EDC82" w14:textId="77777777" w:rsidTr="00280951"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06DA9" w14:textId="32CF7D47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Запах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BB440" w14:textId="5B31DCB3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без запаха</w:t>
                  </w:r>
                </w:p>
              </w:tc>
            </w:tr>
            <w:tr w:rsidR="00976284" w:rsidRPr="00976284" w14:paraId="65E9611F" w14:textId="77777777" w:rsidTr="00280951">
              <w:trPr>
                <w:trHeight w:val="70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E383A" w14:textId="293210D1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FCA1D" w14:textId="1E118F8B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бесцветный, прозрачный</w:t>
                  </w:r>
                </w:p>
              </w:tc>
            </w:tr>
            <w:tr w:rsidR="00976284" w:rsidRPr="00976284" w14:paraId="1C72B0A1" w14:textId="77777777" w:rsidTr="00280951"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C1716" w14:textId="0C6B662D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Вязкость имплантата при нулевой скорости сдвига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A2037" w14:textId="03D0EEBE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&gt; 2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0 000 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Па·с</w:t>
                  </w:r>
                  <w:proofErr w:type="spellEnd"/>
                </w:p>
              </w:tc>
            </w:tr>
            <w:tr w:rsidR="00976284" w:rsidRPr="00976284" w14:paraId="217ECF50" w14:textId="77777777" w:rsidTr="00280951"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ED160" w14:textId="0B919F10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pH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импланта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33541" w14:textId="35CC1910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6,8 – 7,4</w:t>
                  </w:r>
                </w:p>
              </w:tc>
            </w:tr>
            <w:tr w:rsidR="00976284" w:rsidRPr="00976284" w14:paraId="5BFFDD20" w14:textId="77777777" w:rsidTr="00280951"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E3FB98" w14:textId="5E0C32F7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Молекулярный вес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7AD4A" w14:textId="78AF1B4A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1.2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– 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3.2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миллион Да</w:t>
                  </w:r>
                </w:p>
              </w:tc>
            </w:tr>
            <w:tr w:rsidR="00976284" w:rsidRPr="00976284" w14:paraId="1A01AC84" w14:textId="77777777" w:rsidTr="00280951"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D30E8A" w14:textId="52FD3208" w:rsidR="00434EDD" w:rsidRPr="00976284" w:rsidRDefault="00434EDD" w:rsidP="009C74B5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Извлекаемый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объем 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имплантата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1658E" w14:textId="449089EB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≥ 4,8 мл</w:t>
                  </w:r>
                </w:p>
              </w:tc>
            </w:tr>
            <w:tr w:rsidR="00976284" w:rsidRPr="00976284" w14:paraId="0A0CF591" w14:textId="77777777" w:rsidTr="00280951"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409B6" w14:textId="71E2C313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О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смоляльность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56914" w14:textId="762E45CD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270 – 400 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мОсмоль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/кг</w:t>
                  </w:r>
                </w:p>
              </w:tc>
            </w:tr>
            <w:tr w:rsidR="00976284" w:rsidRPr="00976284" w14:paraId="6B389303" w14:textId="77777777" w:rsidTr="00280951"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5723A" w14:textId="61FC7E50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Бактериальные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эндотоксины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BD789" w14:textId="2DB7D941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&lt;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0,5 МЕ/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мл</w:t>
                  </w:r>
                  <w:proofErr w:type="spellEnd"/>
                </w:p>
              </w:tc>
            </w:tr>
            <w:tr w:rsidR="00976284" w:rsidRPr="00976284" w14:paraId="585C9CA2" w14:textId="77777777" w:rsidTr="00280951"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6CB7AC" w14:textId="755B318E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Механические примеси в импланте:</w:t>
                  </w:r>
                </w:p>
                <w:p w14:paraId="09CF3CBF" w14:textId="16C4A7AF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&gt; 10 мкм</w:t>
                  </w:r>
                </w:p>
                <w:p w14:paraId="6E5A1738" w14:textId="6915B0C1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&gt; 25 мкм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95D26" w14:textId="6317BBC0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субвидимые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частицы</w:t>
                  </w:r>
                </w:p>
                <w:p w14:paraId="6B34C08B" w14:textId="0A5B4B58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≤ 25 000 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шт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/ мл</w:t>
                  </w:r>
                </w:p>
                <w:p w14:paraId="61CB893C" w14:textId="582479A3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≤ 5 000 </w:t>
                  </w:r>
                  <w:proofErr w:type="spellStart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шт</w:t>
                  </w:r>
                  <w:proofErr w:type="spellEnd"/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 xml:space="preserve"> / мл</w:t>
                  </w:r>
                </w:p>
              </w:tc>
            </w:tr>
            <w:tr w:rsidR="00976284" w:rsidRPr="00976284" w14:paraId="28B4A2DC" w14:textId="77777777" w:rsidTr="00280951"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F1EAE2" w14:textId="55AE56CC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Рекомендуемые размеры игл (не являются частью этого медицинского изделия)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CDFDB" w14:textId="3D61C641" w:rsidR="00434EDD" w:rsidRPr="00976284" w:rsidRDefault="00434EDD" w:rsidP="009C74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G, </w:t>
                  </w:r>
                  <w:r w:rsidRPr="00976284">
                    <w:rPr>
                      <w:rFonts w:ascii="Arial" w:hAnsi="Arial" w:cs="Arial"/>
                      <w:sz w:val="18"/>
                      <w:szCs w:val="18"/>
                    </w:rPr>
                    <w:t>одноразовые, стерильные</w:t>
                  </w:r>
                </w:p>
              </w:tc>
            </w:tr>
          </w:tbl>
          <w:p w14:paraId="3F0FE195" w14:textId="77777777" w:rsidR="00434EDD" w:rsidRPr="00976284" w:rsidRDefault="00434EDD" w:rsidP="0039393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</w:p>
          <w:p w14:paraId="07E0A9B2" w14:textId="07078D7B" w:rsidR="00434EDD" w:rsidRPr="00976284" w:rsidRDefault="00434EDD" w:rsidP="0039393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284" w:rsidRPr="00976284" w14:paraId="6397DDAB" w14:textId="77777777" w:rsidTr="00434EDD">
        <w:tc>
          <w:tcPr>
            <w:tcW w:w="9634" w:type="dxa"/>
          </w:tcPr>
          <w:p w14:paraId="3A78DC4F" w14:textId="77777777" w:rsidR="00434EDD" w:rsidRPr="00976284" w:rsidRDefault="00434EDD" w:rsidP="009C74B5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Назначение</w:t>
            </w:r>
          </w:p>
          <w:p w14:paraId="2B908DAD" w14:textId="49A89439" w:rsidR="00434EDD" w:rsidRPr="00976284" w:rsidRDefault="00434EDD" w:rsidP="009C74B5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Вязкоэластичное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протезирование синовиальной жидкости у пациентов с дегенеративно-дистрофическими и посттравматическими поражениями суставов, а также у лиц, имеющих повышенные нагрузки на поврежденные суставы.</w:t>
            </w:r>
          </w:p>
        </w:tc>
      </w:tr>
      <w:tr w:rsidR="00976284" w:rsidRPr="00976284" w14:paraId="55785F43" w14:textId="77777777" w:rsidTr="00434EDD">
        <w:tc>
          <w:tcPr>
            <w:tcW w:w="9634" w:type="dxa"/>
          </w:tcPr>
          <w:p w14:paraId="3A6133AB" w14:textId="77777777" w:rsidR="00434EDD" w:rsidRPr="00976284" w:rsidRDefault="00434EDD" w:rsidP="00514113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Показания к применению</w:t>
            </w:r>
          </w:p>
          <w:p w14:paraId="7D516946" w14:textId="77777777" w:rsidR="00434EDD" w:rsidRPr="00976284" w:rsidRDefault="00434EDD" w:rsidP="009C74B5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- остеоартрит / остеоартроз (ОА) и другие дегенеративно-дистрофические и посттравматические поражения коленных суставов.</w:t>
            </w:r>
          </w:p>
          <w:p w14:paraId="3E080A1A" w14:textId="37409DB0" w:rsidR="00434EDD" w:rsidRPr="00976284" w:rsidRDefault="00434EDD" w:rsidP="009C74B5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- восстановление свойств синовиальной жидкости при ортопедической хирургии суставов, а также у лиц, имеющих повышенные нагрузки на поврежденные суставы.</w:t>
            </w:r>
          </w:p>
        </w:tc>
      </w:tr>
      <w:tr w:rsidR="00976284" w:rsidRPr="00976284" w14:paraId="0FB11CF6" w14:textId="77777777" w:rsidTr="00434EDD">
        <w:tc>
          <w:tcPr>
            <w:tcW w:w="9634" w:type="dxa"/>
          </w:tcPr>
          <w:p w14:paraId="2EE537A0" w14:textId="135C57E2" w:rsidR="00434EDD" w:rsidRPr="00976284" w:rsidRDefault="00434EDD" w:rsidP="005254F2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Категория пользователей</w:t>
            </w:r>
          </w:p>
          <w:p w14:paraId="2A93B351" w14:textId="09A5451B" w:rsidR="00434EDD" w:rsidRPr="00976284" w:rsidRDefault="00434EDD" w:rsidP="005254F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Исключительно практикующие врачи-специалистами.</w:t>
            </w:r>
          </w:p>
          <w:p w14:paraId="335E0EFD" w14:textId="77777777" w:rsidR="00434EDD" w:rsidRPr="00976284" w:rsidRDefault="00434EDD" w:rsidP="005254F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 xml:space="preserve">Ведение продукта должно выполняться в асептических условиях процедурных и манипуляционных кабинетов медицинскими работниками, владеющими техникой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интраартикулярных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инъекций.</w:t>
            </w:r>
          </w:p>
          <w:p w14:paraId="43FB030F" w14:textId="103F258A" w:rsidR="00434EDD" w:rsidRPr="00976284" w:rsidRDefault="00434EDD" w:rsidP="005254F2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Cs/>
                <w:sz w:val="18"/>
                <w:szCs w:val="18"/>
              </w:rPr>
              <w:t>Объем одного имплантата приближен к безопасному объему для коленного сустава взрослого человека. Нет каких-либо ограничений по антропометрическим и анатомическим особенностям целевого пациента.</w:t>
            </w:r>
          </w:p>
        </w:tc>
      </w:tr>
      <w:tr w:rsidR="00976284" w:rsidRPr="00976284" w14:paraId="117F3E99" w14:textId="77777777" w:rsidTr="00434EDD">
        <w:tc>
          <w:tcPr>
            <w:tcW w:w="9634" w:type="dxa"/>
          </w:tcPr>
          <w:p w14:paraId="55E5F003" w14:textId="77777777" w:rsidR="00434EDD" w:rsidRPr="00976284" w:rsidRDefault="00434EDD" w:rsidP="009C74B5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Свойства и принцип действия</w:t>
            </w:r>
          </w:p>
          <w:p w14:paraId="71358DC9" w14:textId="77777777" w:rsidR="00434EDD" w:rsidRPr="00976284" w:rsidRDefault="00434EDD" w:rsidP="009C74B5">
            <w:pPr>
              <w:pStyle w:val="a0"/>
              <w:rPr>
                <w:rFonts w:ascii="Arial" w:hAnsi="Arial" w:cs="Arial"/>
                <w:bCs/>
                <w:sz w:val="18"/>
                <w:szCs w:val="18"/>
              </w:rPr>
            </w:pPr>
            <w:r w:rsidRPr="00976284">
              <w:rPr>
                <w:rFonts w:ascii="Arial" w:hAnsi="Arial" w:cs="Arial"/>
                <w:bCs/>
                <w:sz w:val="18"/>
                <w:szCs w:val="18"/>
              </w:rPr>
              <w:t>Гиалуроновая кислота представляет собой поли-(2-ацетамидо-2-дезокси-D-глюко)-D-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глюкуроногликан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>, то есть полимер, состоящий из остатков D-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глюкуроновой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кислоты и N-ацетил-D-глюкозамина, соединённых </w:t>
            </w:r>
            <w:r w:rsidRPr="00976284">
              <w:rPr>
                <w:rFonts w:ascii="Arial" w:hAnsi="Arial" w:cs="Arial"/>
                <w:bCs/>
                <w:sz w:val="18"/>
                <w:szCs w:val="18"/>
              </w:rPr>
              <w:lastRenderedPageBreak/>
              <w:t>поочерёдно β-1,4- и β-1,3-гликозидными связями. Благодаря такой полимерной трехмерной структуре формируются крупные отрицательно заряженные агрегаты, удерживающие воду. Эти агрегаты отвечают за влагосодержание, упругость и эластичность хрящевой ткани (устойчивость её к компрессии).</w:t>
            </w:r>
          </w:p>
          <w:p w14:paraId="2E8D4B09" w14:textId="77777777" w:rsidR="00434EDD" w:rsidRPr="00976284" w:rsidRDefault="00434EDD" w:rsidP="009C74B5">
            <w:pPr>
              <w:pStyle w:val="a0"/>
              <w:rPr>
                <w:rFonts w:ascii="Arial" w:hAnsi="Arial" w:cs="Arial"/>
                <w:bCs/>
                <w:sz w:val="18"/>
                <w:szCs w:val="18"/>
              </w:rPr>
            </w:pPr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Внутрисуставное обогащение синовиальной жидкости инъекциями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гиалуроната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натрия способствует улучшению или восстановлению вязкоупругих свойств естественной синовиальной жидкости.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Гиалуронат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натрия отвечает за вязкоупругие свойства синовиальной жидкости, таким образом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вязкоэластичное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протезирование позволяет компенсировать недостаточность гиалуроновой кислоты в синовиальной жидкости или снижение её вязкости, смягчить внешние нагрузки на сустав, обеспечивает смазывание, восстановление упругости и вязкости, амортизацию, увлажнение и обволакивание суставных поверхностей, покрывая смазывающим защитным слоем хрящ и рецепторы синовии. Это помогает увеличить объём движений и обеспечивает механическую защиту тканей полости сустава, что в свою очередь может улучшать течение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остеоратроза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/ остеоартрита и других дегенеративно-дистрофических и посттравматических патологий суставов. </w:t>
            </w:r>
          </w:p>
          <w:p w14:paraId="7C5CDC60" w14:textId="38A6C311" w:rsidR="00434EDD" w:rsidRPr="00976284" w:rsidRDefault="00434EDD" w:rsidP="009C74B5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На основании клинических сведений об особенностях биодеградации и продолжительности лечебных эффектов внутрисуставного введения гиалуроновой кислоты предполагается, что биодеградация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вязкоэластичного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имплантата "ФЛЕКСОТРОН</w:t>
            </w:r>
            <w:r w:rsidRPr="0097628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®</w:t>
            </w:r>
            <w:r w:rsidRPr="00976284">
              <w:rPr>
                <w:rFonts w:ascii="Arial" w:hAnsi="Arial" w:cs="Arial"/>
                <w:bCs/>
                <w:sz w:val="18"/>
                <w:szCs w:val="18"/>
              </w:rPr>
              <w:t>" происходит в срок от 12 до 24 недель. Клинический эффект лечения сохраняется в течение не менее 6 месяцев.</w:t>
            </w:r>
          </w:p>
        </w:tc>
      </w:tr>
      <w:tr w:rsidR="00976284" w:rsidRPr="00976284" w14:paraId="56E25FF9" w14:textId="77777777" w:rsidTr="00434EDD">
        <w:trPr>
          <w:trHeight w:val="1321"/>
        </w:trPr>
        <w:tc>
          <w:tcPr>
            <w:tcW w:w="9634" w:type="dxa"/>
          </w:tcPr>
          <w:p w14:paraId="6801ADA0" w14:textId="77777777" w:rsidR="00434EDD" w:rsidRPr="00976284" w:rsidRDefault="00434EDD" w:rsidP="00CA58D0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lastRenderedPageBreak/>
              <w:t>Противопоказания</w:t>
            </w:r>
          </w:p>
          <w:p w14:paraId="236EC5FE" w14:textId="77777777" w:rsidR="00434EDD" w:rsidRPr="00976284" w:rsidRDefault="00434EDD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Изделие не должно использоваться при лечении пациентов:</w:t>
            </w:r>
          </w:p>
          <w:p w14:paraId="6BAE6635" w14:textId="44BE015C" w:rsidR="00434EDD" w:rsidRPr="00976284" w:rsidRDefault="00434EDD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- имеющих повышенную чувствительность к одному из компонентов изделия;</w:t>
            </w:r>
          </w:p>
          <w:p w14:paraId="1C93DD4B" w14:textId="679413FE" w:rsidR="00434EDD" w:rsidRPr="00976284" w:rsidRDefault="00434EDD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- страдающих септическим артритом;</w:t>
            </w:r>
          </w:p>
          <w:p w14:paraId="6F9D3838" w14:textId="5F79017B" w:rsidR="00434EDD" w:rsidRPr="00976284" w:rsidRDefault="00434EDD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- страдающих инфекциями кожи или дерматологическими заболеваниями в области инъекции;</w:t>
            </w:r>
          </w:p>
          <w:p w14:paraId="1C6B2E78" w14:textId="0BD4782A" w:rsidR="00434EDD" w:rsidRPr="00976284" w:rsidRDefault="00434EDD" w:rsidP="002408B5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 xml:space="preserve">- принимающих антикоагулянты, такие как, например,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Фенопрокумон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или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Варфарин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6284" w:rsidRPr="00976284" w14:paraId="75AAE696" w14:textId="77777777" w:rsidTr="00434EDD">
        <w:tc>
          <w:tcPr>
            <w:tcW w:w="9634" w:type="dxa"/>
          </w:tcPr>
          <w:p w14:paraId="559C1CB7" w14:textId="77777777" w:rsidR="00434EDD" w:rsidRPr="00976284" w:rsidRDefault="00434EDD" w:rsidP="00EB2C62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Меры предосторожности</w:t>
            </w:r>
          </w:p>
          <w:p w14:paraId="61067F21" w14:textId="77777777" w:rsidR="00434EDD" w:rsidRPr="00976284" w:rsidRDefault="00434EDD" w:rsidP="00EB2C6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По причине того, что септический артрит является серьезным побочным эффектом, необходимо соблюдать все стандартные меры предосторожности для хирургических вмешательств.</w:t>
            </w:r>
          </w:p>
          <w:p w14:paraId="51480F58" w14:textId="77777777" w:rsidR="00434EDD" w:rsidRPr="00976284" w:rsidRDefault="00434EDD" w:rsidP="00EB2C6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Изделие предназначено для внутрисуставного введения. Необходимо избегать внутрисосудистого или внутритканевого введения изделия.</w:t>
            </w:r>
          </w:p>
          <w:p w14:paraId="5481948F" w14:textId="77777777" w:rsidR="00434EDD" w:rsidRPr="00976284" w:rsidRDefault="00434EDD" w:rsidP="00EB2C6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Ввиду отсутствия клинических данных по применению гиалуроновой кислоты при лечении детей, беременных или кормящих женщин, избегать использования изделия у данных групп пациентов.</w:t>
            </w:r>
          </w:p>
          <w:p w14:paraId="7F467DBD" w14:textId="77777777" w:rsidR="00434EDD" w:rsidRPr="00976284" w:rsidRDefault="00434EDD" w:rsidP="00EB2C6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Изделие следует использовать до истечения срока годности, указанного на упаковке.</w:t>
            </w:r>
          </w:p>
          <w:p w14:paraId="4E52B3EB" w14:textId="77777777" w:rsidR="00434EDD" w:rsidRPr="00976284" w:rsidRDefault="00434EDD" w:rsidP="00EB2C6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В первые дни после инъекции может быть полезным пероральный прием анальгетиков или противовоспалительных лекарственных средств.</w:t>
            </w:r>
          </w:p>
          <w:p w14:paraId="55CD2CBD" w14:textId="77777777" w:rsidR="00434EDD" w:rsidRPr="00976284" w:rsidRDefault="00434EDD" w:rsidP="00EB2C6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Применение изделия совместно с четвертичными соединениями аммония запрещено.</w:t>
            </w:r>
          </w:p>
          <w:p w14:paraId="3B3A3DDB" w14:textId="77777777" w:rsidR="00434EDD" w:rsidRPr="00976284" w:rsidRDefault="00434EDD" w:rsidP="00EB2C6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Повторная стерилизация и применение изделия запрещены по причине наличия риска возникновения инфекции, перекрестной инфекции и (или) дефекта изделия.</w:t>
            </w:r>
          </w:p>
          <w:p w14:paraId="3E058ACE" w14:textId="3204F21B" w:rsidR="00434EDD" w:rsidRPr="00976284" w:rsidRDefault="00434EDD" w:rsidP="00EB2C62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Только для одноразового использования. Не использовать шприц из открытой и/или поврежденной стерильной упаковки. Не использовать шприц с открытым или поврежденным колпачком стерильного шприца. При нарушении стерильности или подозрении о нарушении стерильности импланта изделие должно быть утилизировано.</w:t>
            </w:r>
          </w:p>
        </w:tc>
      </w:tr>
      <w:tr w:rsidR="00976284" w:rsidRPr="00976284" w14:paraId="55FBAEEB" w14:textId="77777777" w:rsidTr="00434EDD">
        <w:tc>
          <w:tcPr>
            <w:tcW w:w="9634" w:type="dxa"/>
          </w:tcPr>
          <w:p w14:paraId="216B10E4" w14:textId="389DF4B3" w:rsidR="00434EDD" w:rsidRPr="00976284" w:rsidRDefault="00434EDD" w:rsidP="00CA58D0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Назначение и дозирование</w:t>
            </w:r>
          </w:p>
          <w:p w14:paraId="5F0DEE5C" w14:textId="77777777" w:rsidR="00434EDD" w:rsidRPr="00976284" w:rsidRDefault="00434EDD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Инъекции проводятся врачами-специалистами в асептических условиях.</w:t>
            </w:r>
          </w:p>
          <w:p w14:paraId="4DBD1C29" w14:textId="22C79E3A" w:rsidR="00434EDD" w:rsidRPr="00976284" w:rsidRDefault="00434EDD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Перед введением имплантата содержимое шприца должно быть визуально оценено на прозрачность и однородность. Помутнение, кристаллизация, появление окраски и/или инородных включений может свидетельствовать о нарушении правил транспортировки и хранения изделия. При появлении вышеуказанных признаков введение имплантата запрещено.</w:t>
            </w:r>
          </w:p>
          <w:p w14:paraId="66D8B0AC" w14:textId="77777777" w:rsidR="00434EDD" w:rsidRPr="00976284" w:rsidRDefault="00434EDD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</w:p>
          <w:p w14:paraId="2373CF80" w14:textId="72D21742" w:rsidR="00434EDD" w:rsidRPr="00976284" w:rsidRDefault="00434EDD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 xml:space="preserve">Применение изделия включает в себя снятие колпачка с насадки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Люэра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предзаполненного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шприца и привинчивание к насадке соответствующей стерильной иглы с острым концом. Для инъекции необходимо использовать одноразовые стерильные иглы размером 19</w:t>
            </w:r>
            <w:r w:rsidRPr="00976284"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r w:rsidRPr="00976284">
              <w:rPr>
                <w:rFonts w:ascii="Arial" w:hAnsi="Arial" w:cs="Arial"/>
                <w:sz w:val="18"/>
                <w:szCs w:val="18"/>
              </w:rPr>
              <w:t xml:space="preserve"> (не входят в комплект поставки). Необходимо продезинфицировать кожу антисептиком. Препарат вводятся точно в полость сустава по стандартным методикам, учитывая анатомические особенности пациента. Введение в полость сустава должно быть прекращено при возрастании боли во время инъекции. Неиспользованное средство не подлежит хранению.</w:t>
            </w:r>
          </w:p>
          <w:p w14:paraId="2CEC1EB8" w14:textId="74625A89" w:rsidR="00434EDD" w:rsidRPr="00976284" w:rsidRDefault="00434EDD" w:rsidP="000D467B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Возможно одновременное лечение нескольких суставов. В случае возникновения внутрисуставного отека перед введением гиалуроновой кислоты необходимо удалить жидкость методом аспирации.</w:t>
            </w:r>
          </w:p>
          <w:p w14:paraId="6EF55CF2" w14:textId="32C20871" w:rsidR="00434EDD" w:rsidRPr="00976284" w:rsidRDefault="00434EDD" w:rsidP="00FA00F8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 xml:space="preserve">Предварительно заполненный шприц объемом 4,8 мл предназначен исключительно для лечения коленного сустава. </w:t>
            </w:r>
            <w:bookmarkStart w:id="2" w:name="_Hlk14963959"/>
            <w:r w:rsidRPr="00976284">
              <w:rPr>
                <w:rFonts w:ascii="Arial" w:hAnsi="Arial" w:cs="Arial"/>
                <w:sz w:val="18"/>
                <w:szCs w:val="18"/>
              </w:rPr>
              <w:t>Рекомендуемым лечением для коленного сустава с использованием имплантата объемом 4,8 мл является одна инъекция, которая может быть повторно выполнена через 6 месяцев на основании клинического ответа и болевых ощущений пациента.</w:t>
            </w:r>
            <w:bookmarkEnd w:id="2"/>
          </w:p>
        </w:tc>
      </w:tr>
      <w:tr w:rsidR="00976284" w:rsidRPr="00976284" w14:paraId="3D813D98" w14:textId="77777777" w:rsidTr="00434EDD">
        <w:tc>
          <w:tcPr>
            <w:tcW w:w="9634" w:type="dxa"/>
          </w:tcPr>
          <w:p w14:paraId="0F2FDB9D" w14:textId="77777777" w:rsidR="00434EDD" w:rsidRPr="00976284" w:rsidRDefault="00434EDD" w:rsidP="000D467B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Побочные действия</w:t>
            </w:r>
          </w:p>
          <w:p w14:paraId="655DDF8C" w14:textId="3334AE20" w:rsidR="00434EDD" w:rsidRPr="00976284" w:rsidRDefault="00434EDD" w:rsidP="00240FF4">
            <w:pPr>
              <w:pStyle w:val="a0"/>
              <w:ind w:right="5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Применение внутрисуставных форм гиалуроновой кислоты при дегенеративно-дистрофических и посттравматических поражениях суставов является хорошо изученным методом с установленным профилем безопасности, применяющимся на протяжении нескольких десятилетий.</w:t>
            </w:r>
          </w:p>
          <w:p w14:paraId="7F9D2772" w14:textId="5A19D986" w:rsidR="00434EDD" w:rsidRPr="00976284" w:rsidRDefault="00434EDD" w:rsidP="00240FF4">
            <w:pPr>
              <w:pStyle w:val="a0"/>
              <w:ind w:right="5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В крайне редких случаях возможно проявление местных временных воспалительных симптомов (боль, повышение температуры, покраснение и отечность, увеличение содержания экссудата в полости сустава). После внутрисуставной инъекции могут возникать такие обратимые местные реакции, как кратковременное ограничение подвижности (скованность), чувство дискомфорта или тяжести в суставе, гематомы. Проявление данных симптомов можно уменьшить прикладыванием льда к месту инъекции в течение 5-10 минут.</w:t>
            </w:r>
          </w:p>
          <w:p w14:paraId="07A4807D" w14:textId="2B8EFE92" w:rsidR="00434EDD" w:rsidRPr="00976284" w:rsidRDefault="00434EDD" w:rsidP="00240FF4">
            <w:pPr>
              <w:pStyle w:val="a0"/>
              <w:ind w:right="5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 xml:space="preserve">Имеются сообщения о единичных случаях аллергических реакций (например, зуд, сыпь, крапивница) и анафилактических реакций, септического артрита, внутритканевых кровотечениях или кровоизлияниях в </w:t>
            </w:r>
            <w:r w:rsidRPr="00976284">
              <w:rPr>
                <w:rFonts w:ascii="Arial" w:hAnsi="Arial" w:cs="Arial"/>
                <w:sz w:val="18"/>
                <w:szCs w:val="18"/>
              </w:rPr>
              <w:lastRenderedPageBreak/>
              <w:t xml:space="preserve">полость сустава,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тенденитах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>, флебитах, парестезиях, головокружениях, головных болях, мышечных спазмах, чувстве жара, общем недомогании, периферических отеков при внутрисуставном введении растворов гиалуроновой кислоты.</w:t>
            </w:r>
          </w:p>
          <w:p w14:paraId="4AFF4184" w14:textId="375BCBFA" w:rsidR="00434EDD" w:rsidRPr="00976284" w:rsidRDefault="00434EDD" w:rsidP="00240FF4">
            <w:pPr>
              <w:pStyle w:val="a0"/>
              <w:ind w:right="5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При появлении местных или общих симптомов следует проконсультироваться с врачом.</w:t>
            </w:r>
          </w:p>
        </w:tc>
      </w:tr>
      <w:tr w:rsidR="00976284" w:rsidRPr="00976284" w14:paraId="2D11972D" w14:textId="77777777" w:rsidTr="00434EDD">
        <w:tc>
          <w:tcPr>
            <w:tcW w:w="9634" w:type="dxa"/>
          </w:tcPr>
          <w:p w14:paraId="67B0ECF2" w14:textId="77777777" w:rsidR="00434EDD" w:rsidRPr="00976284" w:rsidRDefault="00434EDD" w:rsidP="00FC14B7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lastRenderedPageBreak/>
              <w:t>Биодеградация</w:t>
            </w:r>
          </w:p>
          <w:p w14:paraId="0B829EC5" w14:textId="097EDE07" w:rsidR="00434EDD" w:rsidRPr="00976284" w:rsidRDefault="00434EDD" w:rsidP="00FC14B7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Гиалуроновая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кислота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деградируется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семейством ферментов, называемых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гиалуронидазами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, большинство из которых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лизосомальные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, с образованием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мономерных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нетоксичных продуктов деградации (первичными продуктами деградации являются олигосахариды и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гиалуронаты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с низкой молекулярной массой). В организме человека существуют по меньшей мере семь типов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гиалуронидазоподобных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ферментов. Скорость биодеградации зависит от состояния и особенностей метаболизма конкретного пациента. Деградация высокомолекулярного внеклеточного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гиалуроната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происходит в виде ряда отдельных этапов, генерирующих гиалуроновые цепи уменьшающихся размеров. Данных о негативном влиянии продуктов деградации на имплант или об каких-либо их системных эффектах в теле человека, нет. Некоторые продукты деградации могут быть использованы в процессах эндогенного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ресинтеза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976284" w:rsidRPr="00976284" w14:paraId="2A37DFE5" w14:textId="77777777" w:rsidTr="00434EDD">
        <w:trPr>
          <w:trHeight w:val="424"/>
        </w:trPr>
        <w:tc>
          <w:tcPr>
            <w:tcW w:w="9634" w:type="dxa"/>
          </w:tcPr>
          <w:p w14:paraId="587F91D0" w14:textId="77777777" w:rsidR="00434EDD" w:rsidRPr="00976284" w:rsidRDefault="00434EDD" w:rsidP="00BA753D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Удаление импланта</w:t>
            </w:r>
          </w:p>
          <w:p w14:paraId="3109BE77" w14:textId="77777777" w:rsidR="00434EDD" w:rsidRPr="00976284" w:rsidRDefault="00434EDD" w:rsidP="00BA753D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 xml:space="preserve">В случае выраженных проявлений может быть рекомендовано удаление импланта из полости сустава, в том числе с применением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лаважа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согласно действующим клиническим рекомендациям.</w:t>
            </w:r>
          </w:p>
          <w:p w14:paraId="34CCA738" w14:textId="5DDCB644" w:rsidR="00434EDD" w:rsidRPr="00976284" w:rsidRDefault="00434EDD" w:rsidP="00BA753D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Если реакция на имплантат не была связана с индивидуальной непереносимостью компонентов изделия, возможно повторное введение имплантата спустя 3 недели после стихания воспалительных явлений.</w:t>
            </w:r>
          </w:p>
        </w:tc>
      </w:tr>
      <w:tr w:rsidR="00976284" w:rsidRPr="00976284" w14:paraId="6AB5FC6F" w14:textId="77777777" w:rsidTr="00434EDD">
        <w:tc>
          <w:tcPr>
            <w:tcW w:w="9634" w:type="dxa"/>
          </w:tcPr>
          <w:p w14:paraId="4F798696" w14:textId="77777777" w:rsidR="00434EDD" w:rsidRPr="00976284" w:rsidRDefault="00434EDD" w:rsidP="00C1367F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Взаимодействие</w:t>
            </w:r>
          </w:p>
          <w:p w14:paraId="33EEC987" w14:textId="3C683E8C" w:rsidR="00434EDD" w:rsidRPr="00976284" w:rsidDel="000D467B" w:rsidRDefault="00434EDD" w:rsidP="00C1367F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Имплантаты линейки ФЛЕКСОТРОН</w:t>
            </w:r>
            <w:r w:rsidRPr="00976284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976284">
              <w:rPr>
                <w:rFonts w:ascii="Arial" w:hAnsi="Arial" w:cs="Arial"/>
                <w:sz w:val="18"/>
                <w:szCs w:val="18"/>
              </w:rPr>
              <w:t xml:space="preserve"> успешно прошли доклинические испытания и подтвердили совместимость с биологическими тканями, клетками и жидкостями организма, с которыми они контактируют в имплантируемом состоянии. Не следует применять дезинфицирующие средства, содержащие соли четвертичного аммония, поскольку гиалуроновая кислота осаждается в присутствии этих веществ. Сведения о несовместимости с другими лекарствами, веществами и внутрисуставными инъекционными продуктами на данный момент отсутствуют, однако, медицинский специалист должен внимательно ознакомиться с информацией в инструкциях к данным лекарствам/веществам/продуктам и пользоваться с осторожностью.</w:t>
            </w:r>
          </w:p>
        </w:tc>
      </w:tr>
      <w:tr w:rsidR="00976284" w:rsidRPr="00976284" w14:paraId="2DFDCC61" w14:textId="77777777" w:rsidTr="00434EDD">
        <w:tc>
          <w:tcPr>
            <w:tcW w:w="9634" w:type="dxa"/>
          </w:tcPr>
          <w:p w14:paraId="664E814F" w14:textId="77777777" w:rsidR="00434EDD" w:rsidRPr="00976284" w:rsidRDefault="00434EDD" w:rsidP="00536FA6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Особые указания</w:t>
            </w:r>
          </w:p>
          <w:p w14:paraId="6CC3ACA2" w14:textId="77777777" w:rsidR="00434EDD" w:rsidRPr="00976284" w:rsidRDefault="00434EDD" w:rsidP="00536FA6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 xml:space="preserve">В течение первых 2 суток после проведения процедуры рекомендуется не перегружать сустав, особенно следует избегать длительной нагрузки. При получении аспирационной жидкости перед проведением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вискосаплиментарной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терапии следует провести соответствующие исследования для исключения бактериальной этиологии артрита.</w:t>
            </w:r>
          </w:p>
          <w:p w14:paraId="3818E45E" w14:textId="29C2A323" w:rsidR="00434EDD" w:rsidRPr="00976284" w:rsidRDefault="00434EDD" w:rsidP="00536FA6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Продукт не влияет на способность человека управлять автотранспортом, заниматься другими потенциально опасными видами деятельности, требующими повышенной концентрации внимания и быстроты психомоторных реакций.</w:t>
            </w:r>
          </w:p>
        </w:tc>
      </w:tr>
      <w:tr w:rsidR="00976284" w:rsidRPr="00976284" w14:paraId="0060E10C" w14:textId="77777777" w:rsidTr="00434EDD">
        <w:tc>
          <w:tcPr>
            <w:tcW w:w="9634" w:type="dxa"/>
          </w:tcPr>
          <w:p w14:paraId="2B280C57" w14:textId="77777777" w:rsidR="00434EDD" w:rsidRPr="00976284" w:rsidRDefault="00434EDD" w:rsidP="00C1367F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Электромагнитные поля и ионизирующее излучение</w:t>
            </w:r>
          </w:p>
          <w:p w14:paraId="3A6E3841" w14:textId="0D9EF091" w:rsidR="00434EDD" w:rsidRPr="00976284" w:rsidRDefault="00434EDD" w:rsidP="00C1367F">
            <w:pPr>
              <w:pStyle w:val="a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Вязкоэластичные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имплантаты совместимы для использования в условиях магнитно-резонансных исследований при индукции магнитного поля по меньшей мере до 3 Тесла. Радиационные, электромагнитные и магнитные поля не оказывают прямого эффекта на имплантат </w:t>
            </w:r>
            <w:r w:rsidRPr="00976284">
              <w:rPr>
                <w:rFonts w:ascii="Arial" w:hAnsi="Arial" w:cs="Arial"/>
                <w:sz w:val="18"/>
                <w:szCs w:val="18"/>
              </w:rPr>
              <w:t>ФЛЕКСОТРОН</w:t>
            </w:r>
            <w:r w:rsidRPr="00976284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976284">
              <w:rPr>
                <w:rFonts w:ascii="Arial" w:hAnsi="Arial" w:cs="Arial"/>
                <w:sz w:val="18"/>
                <w:szCs w:val="18"/>
              </w:rPr>
              <w:t xml:space="preserve"> Ультра</w:t>
            </w:r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и его свойства, а также не вызывают каких-либо известных соответствующих последующих эффектов в теле человека.</w:t>
            </w:r>
          </w:p>
          <w:p w14:paraId="35B1C860" w14:textId="3170D681" w:rsidR="00434EDD" w:rsidRPr="00976284" w:rsidRDefault="00434EDD" w:rsidP="00C1367F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Вязкоэластичные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имплантаты не поддаются визуализации посредством радиологических, ультразвуковых и других сканирующих процедур вследствие близости своих физических свойств к естественным компонентам тканей человека.</w:t>
            </w:r>
          </w:p>
        </w:tc>
      </w:tr>
      <w:tr w:rsidR="00976284" w:rsidRPr="00976284" w14:paraId="5B31E1A3" w14:textId="77777777" w:rsidTr="00434EDD">
        <w:tc>
          <w:tcPr>
            <w:tcW w:w="9634" w:type="dxa"/>
          </w:tcPr>
          <w:p w14:paraId="7255D80C" w14:textId="77777777" w:rsidR="00434EDD" w:rsidRPr="00976284" w:rsidRDefault="00434EDD" w:rsidP="00CB6F1A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bCs/>
                <w:sz w:val="18"/>
                <w:szCs w:val="18"/>
              </w:rPr>
              <w:t>Условия транспортирования и хранения</w:t>
            </w:r>
          </w:p>
          <w:p w14:paraId="624E32CD" w14:textId="77777777" w:rsidR="00434EDD" w:rsidRPr="00976284" w:rsidRDefault="00434EDD" w:rsidP="00CB6F1A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 xml:space="preserve">• от 2 °C до 25 °C в оригинальной упаковке, </w:t>
            </w:r>
          </w:p>
          <w:p w14:paraId="6CFFD8C8" w14:textId="77777777" w:rsidR="00434EDD" w:rsidRPr="00976284" w:rsidRDefault="00434EDD" w:rsidP="00CB6F1A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• при относительной влажности 30-60%;</w:t>
            </w:r>
          </w:p>
          <w:p w14:paraId="2E2C6998" w14:textId="77777777" w:rsidR="00434EDD" w:rsidRPr="00976284" w:rsidRDefault="00434EDD" w:rsidP="00CB6F1A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• защищать от света;</w:t>
            </w:r>
          </w:p>
          <w:p w14:paraId="78DBA649" w14:textId="77777777" w:rsidR="00434EDD" w:rsidRPr="00976284" w:rsidRDefault="00434EDD" w:rsidP="00CB6F1A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• не замораживать;</w:t>
            </w:r>
          </w:p>
          <w:p w14:paraId="1D8735F5" w14:textId="77777777" w:rsidR="00434EDD" w:rsidRPr="00976284" w:rsidRDefault="00434EDD" w:rsidP="00CB6F1A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• избегать ударов и резких встряхиваний.</w:t>
            </w:r>
          </w:p>
          <w:p w14:paraId="672DC028" w14:textId="77777777" w:rsidR="00434EDD" w:rsidRPr="00976284" w:rsidRDefault="00434EDD" w:rsidP="00CB6F1A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Хранить в недоступном для детей месте.</w:t>
            </w:r>
          </w:p>
          <w:p w14:paraId="62DD3472" w14:textId="6131BBA9" w:rsidR="00434EDD" w:rsidRPr="00976284" w:rsidRDefault="00434EDD" w:rsidP="00CB6F1A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Cs/>
                <w:sz w:val="18"/>
                <w:szCs w:val="18"/>
              </w:rPr>
              <w:t>Данное медицинское изделие транспортируется всеми видами транспорта в крытых транспортных средствах в соответствии с требованиями, правилами и нормативными документами перевозки грузов, действующих на транспорте каждого вида.</w:t>
            </w:r>
          </w:p>
        </w:tc>
      </w:tr>
      <w:tr w:rsidR="00976284" w:rsidRPr="00976284" w14:paraId="45807238" w14:textId="77777777" w:rsidTr="00434EDD">
        <w:tc>
          <w:tcPr>
            <w:tcW w:w="9634" w:type="dxa"/>
          </w:tcPr>
          <w:p w14:paraId="5038D2EA" w14:textId="736AB3AD" w:rsidR="00434EDD" w:rsidRPr="00976284" w:rsidRDefault="00434EDD" w:rsidP="000D467B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bCs/>
                <w:sz w:val="18"/>
                <w:szCs w:val="18"/>
              </w:rPr>
              <w:t>Срок годности</w:t>
            </w:r>
          </w:p>
          <w:p w14:paraId="3942749D" w14:textId="603FFF02" w:rsidR="00434EDD" w:rsidRPr="00976284" w:rsidRDefault="00434EDD" w:rsidP="004A10C8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Срок годности ФЛЕКСОТРОН</w:t>
            </w:r>
            <w:r w:rsidRPr="00976284">
              <w:rPr>
                <w:rFonts w:cs="Times New Roman"/>
                <w:sz w:val="23"/>
                <w:szCs w:val="23"/>
                <w:vertAlign w:val="superscript"/>
              </w:rPr>
              <w:t>®</w:t>
            </w:r>
            <w:r w:rsidRPr="00976284">
              <w:rPr>
                <w:rFonts w:ascii="Arial" w:hAnsi="Arial" w:cs="Arial"/>
                <w:sz w:val="18"/>
                <w:szCs w:val="18"/>
              </w:rPr>
              <w:t xml:space="preserve"> ограничен 3,5 годами. Дата истечения срока годности указана на упаковке и действительна при соблюдении условий транспортировки и хранения. Не использовать после истечения срока годности.</w:t>
            </w:r>
          </w:p>
        </w:tc>
      </w:tr>
      <w:tr w:rsidR="00976284" w:rsidRPr="00976284" w14:paraId="4088D82F" w14:textId="77777777" w:rsidTr="00434EDD">
        <w:tc>
          <w:tcPr>
            <w:tcW w:w="9634" w:type="dxa"/>
          </w:tcPr>
          <w:p w14:paraId="0AE6E53C" w14:textId="77777777" w:rsidR="00434EDD" w:rsidRPr="00976284" w:rsidRDefault="00434EDD" w:rsidP="00C13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Защита окружающей среды и утилизация.</w:t>
            </w:r>
          </w:p>
          <w:p w14:paraId="56F4E844" w14:textId="77777777" w:rsidR="00434EDD" w:rsidRPr="00976284" w:rsidRDefault="00434EDD" w:rsidP="00C1367F">
            <w:pPr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76284">
              <w:rPr>
                <w:rFonts w:ascii="Arial" w:hAnsi="Arial" w:cs="Arial"/>
                <w:sz w:val="18"/>
                <w:szCs w:val="18"/>
                <w:lang w:eastAsia="ru-RU"/>
              </w:rPr>
              <w:t>Содержание шприца не является токсичным или огнеопасным.</w:t>
            </w:r>
          </w:p>
          <w:p w14:paraId="0C7F5EC2" w14:textId="77777777" w:rsidR="00434EDD" w:rsidRPr="00976284" w:rsidRDefault="00434EDD" w:rsidP="00C1367F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76284">
              <w:rPr>
                <w:rFonts w:ascii="Arial" w:hAnsi="Arial" w:cs="Arial"/>
                <w:color w:val="auto"/>
                <w:sz w:val="18"/>
                <w:szCs w:val="18"/>
              </w:rPr>
              <w:t>Неиспользованные шприцы могут быть утилизированы в качестве бытовых отходов. Стекло следует утилизировать с осторожностью.</w:t>
            </w:r>
          </w:p>
          <w:p w14:paraId="0D62FB17" w14:textId="77777777" w:rsidR="00434EDD" w:rsidRPr="00976284" w:rsidRDefault="00434EDD" w:rsidP="00C136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76284">
              <w:rPr>
                <w:rFonts w:ascii="Arial" w:hAnsi="Arial" w:cs="Arial"/>
                <w:sz w:val="18"/>
                <w:szCs w:val="18"/>
                <w:lang w:eastAsia="ru-RU"/>
              </w:rPr>
              <w:t>Неиспользованное содержимое шприца до или после истечения срока годности может быть утилизировано в качестве бытовых отходов (слить с большим количеством воды).</w:t>
            </w:r>
          </w:p>
          <w:p w14:paraId="29476731" w14:textId="77777777" w:rsidR="00434EDD" w:rsidRPr="00976284" w:rsidRDefault="00434EDD" w:rsidP="00C1367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 xml:space="preserve">Использованные шприцы и иглы относятся к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эпидемиологически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опасным отходам (</w:t>
            </w:r>
            <w:r w:rsidRPr="00976284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976284">
              <w:rPr>
                <w:rFonts w:ascii="Arial" w:hAnsi="Arial" w:cs="Arial"/>
                <w:sz w:val="18"/>
                <w:szCs w:val="18"/>
              </w:rPr>
              <w:t>нфицированные и потенциально инфицированные отходы: материалы и инструменты, предметы, загрязненные кровью и/или другими биологическими жидкостями). Утилизация данных изделий проводится в соответствии с местными и государственными нормами по утилизации медицинских отходов.</w:t>
            </w:r>
          </w:p>
          <w:p w14:paraId="499A53AC" w14:textId="334E815E" w:rsidR="00434EDD" w:rsidRPr="00976284" w:rsidRDefault="00434EDD" w:rsidP="00C1367F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В соответствии с СанПиН 2.1.7.2790-10, отходы данного медицинского изделия после применения относятся к классу Б: </w:t>
            </w:r>
            <w:proofErr w:type="spellStart"/>
            <w:r w:rsidRPr="00976284">
              <w:rPr>
                <w:rFonts w:ascii="Arial" w:hAnsi="Arial" w:cs="Arial"/>
                <w:bCs/>
                <w:sz w:val="18"/>
                <w:szCs w:val="18"/>
              </w:rPr>
              <w:t>эпидемиологически</w:t>
            </w:r>
            <w:proofErr w:type="spellEnd"/>
            <w:r w:rsidRPr="00976284">
              <w:rPr>
                <w:rFonts w:ascii="Arial" w:hAnsi="Arial" w:cs="Arial"/>
                <w:bCs/>
                <w:sz w:val="18"/>
                <w:szCs w:val="18"/>
              </w:rPr>
              <w:t xml:space="preserve"> опасные отходы.</w:t>
            </w:r>
          </w:p>
        </w:tc>
      </w:tr>
      <w:tr w:rsidR="00976284" w:rsidRPr="00976284" w14:paraId="0DD82AEE" w14:textId="77777777" w:rsidTr="00434EDD">
        <w:tc>
          <w:tcPr>
            <w:tcW w:w="9634" w:type="dxa"/>
          </w:tcPr>
          <w:p w14:paraId="25C98022" w14:textId="77777777" w:rsidR="00434EDD" w:rsidRPr="00976284" w:rsidRDefault="00434EDD" w:rsidP="00C1367F">
            <w:pPr>
              <w:pStyle w:val="a0"/>
              <w:rPr>
                <w:rFonts w:ascii="Arial" w:hAnsi="Arial" w:cs="Arial"/>
                <w:b/>
                <w:sz w:val="18"/>
              </w:rPr>
            </w:pPr>
            <w:r w:rsidRPr="00976284">
              <w:rPr>
                <w:rFonts w:ascii="Arial" w:hAnsi="Arial" w:cs="Arial"/>
                <w:b/>
                <w:sz w:val="18"/>
              </w:rPr>
              <w:lastRenderedPageBreak/>
              <w:t>Символы маркировки</w:t>
            </w:r>
          </w:p>
          <w:tbl>
            <w:tblPr>
              <w:tblStyle w:val="a4"/>
              <w:tblW w:w="82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2"/>
              <w:gridCol w:w="6860"/>
            </w:tblGrid>
            <w:tr w:rsidR="00976284" w:rsidRPr="00976284" w14:paraId="25AED59B" w14:textId="77777777" w:rsidTr="00D56994">
              <w:tc>
                <w:tcPr>
                  <w:tcW w:w="1362" w:type="dxa"/>
                </w:tcPr>
                <w:p w14:paraId="3E4560E2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sz w:val="20"/>
                      <w:szCs w:val="20"/>
                    </w:rPr>
                    <w:object w:dxaOrig="1110" w:dyaOrig="1065" w14:anchorId="1185F87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3.4pt;height:21.5pt" o:ole="">
                        <v:imagedata r:id="rId6" o:title=""/>
                      </v:shape>
                      <o:OLEObject Type="Embed" ProgID="PBrush" ShapeID="_x0000_i1025" DrawAspect="Content" ObjectID="_1649761832" r:id="rId7"/>
                    </w:object>
                  </w:r>
                </w:p>
              </w:tc>
              <w:tc>
                <w:tcPr>
                  <w:tcW w:w="6860" w:type="dxa"/>
                </w:tcPr>
                <w:p w14:paraId="06A2915A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Изготовитель</w:t>
                  </w:r>
                </w:p>
              </w:tc>
            </w:tr>
            <w:tr w:rsidR="00976284" w:rsidRPr="00976284" w14:paraId="3D8A48FB" w14:textId="77777777" w:rsidTr="00D56994">
              <w:tc>
                <w:tcPr>
                  <w:tcW w:w="1362" w:type="dxa"/>
                </w:tcPr>
                <w:p w14:paraId="3F455FB8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sz w:val="20"/>
                      <w:szCs w:val="20"/>
                    </w:rPr>
                    <w:object w:dxaOrig="1395" w:dyaOrig="1140" w14:anchorId="5B9A3F41">
                      <v:shape id="_x0000_i1026" type="#_x0000_t75" style="width:27.1pt;height:20.55pt" o:ole="">
                        <v:imagedata r:id="rId8" o:title=""/>
                      </v:shape>
                      <o:OLEObject Type="Embed" ProgID="PBrush" ShapeID="_x0000_i1026" DrawAspect="Content" ObjectID="_1649761833" r:id="rId9"/>
                    </w:object>
                  </w:r>
                </w:p>
              </w:tc>
              <w:tc>
                <w:tcPr>
                  <w:tcW w:w="6860" w:type="dxa"/>
                </w:tcPr>
                <w:p w14:paraId="6375E976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Дата изготовления</w:t>
                  </w:r>
                </w:p>
              </w:tc>
            </w:tr>
            <w:tr w:rsidR="00976284" w:rsidRPr="00976284" w14:paraId="56469204" w14:textId="77777777" w:rsidTr="00D56994">
              <w:tc>
                <w:tcPr>
                  <w:tcW w:w="1362" w:type="dxa"/>
                </w:tcPr>
                <w:p w14:paraId="7D1E9B59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sz w:val="20"/>
                      <w:szCs w:val="20"/>
                    </w:rPr>
                    <w:object w:dxaOrig="795" w:dyaOrig="1110" w14:anchorId="47797FC6">
                      <v:shape id="_x0000_i1027" type="#_x0000_t75" style="width:18.7pt;height:25.25pt" o:ole="">
                        <v:imagedata r:id="rId10" o:title=""/>
                      </v:shape>
                      <o:OLEObject Type="Embed" ProgID="PBrush" ShapeID="_x0000_i1027" DrawAspect="Content" ObjectID="_1649761834" r:id="rId11"/>
                    </w:object>
                  </w:r>
                </w:p>
              </w:tc>
              <w:tc>
                <w:tcPr>
                  <w:tcW w:w="6860" w:type="dxa"/>
                </w:tcPr>
                <w:p w14:paraId="1A3AA131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Использовать до …</w:t>
                  </w:r>
                </w:p>
              </w:tc>
            </w:tr>
            <w:tr w:rsidR="00976284" w:rsidRPr="00976284" w14:paraId="734B176B" w14:textId="77777777" w:rsidTr="00D56994">
              <w:tc>
                <w:tcPr>
                  <w:tcW w:w="1362" w:type="dxa"/>
                </w:tcPr>
                <w:p w14:paraId="6C5C8CA6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16268F6" wp14:editId="6761A857">
                        <wp:extent cx="412713" cy="284420"/>
                        <wp:effectExtent l="0" t="0" r="6985" b="1905"/>
                        <wp:docPr id="3" name="Рисунок 3" descr="C:\Users\P.Ivanov\Desktop\Снимок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5" descr="C:\Users\P.Ivanov\Desktop\Снимок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410" cy="3083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60" w:type="dxa"/>
                </w:tcPr>
                <w:p w14:paraId="358CBD68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Температурный диапазон</w:t>
                  </w:r>
                </w:p>
              </w:tc>
            </w:tr>
            <w:tr w:rsidR="00976284" w:rsidRPr="00976284" w14:paraId="4C2EAB34" w14:textId="77777777" w:rsidTr="00D56994">
              <w:tc>
                <w:tcPr>
                  <w:tcW w:w="1362" w:type="dxa"/>
                </w:tcPr>
                <w:p w14:paraId="22CE5F81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883FEED" wp14:editId="6AD7A475">
                        <wp:extent cx="362382" cy="34988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2949" cy="369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60" w:type="dxa"/>
                </w:tcPr>
                <w:p w14:paraId="6232A69C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Не стерилизовать повторно</w:t>
                  </w:r>
                </w:p>
              </w:tc>
            </w:tr>
            <w:tr w:rsidR="00976284" w:rsidRPr="00976284" w14:paraId="4CBA4C0A" w14:textId="77777777" w:rsidTr="00D56994">
              <w:tc>
                <w:tcPr>
                  <w:tcW w:w="1362" w:type="dxa"/>
                </w:tcPr>
                <w:p w14:paraId="356ABF63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sz w:val="20"/>
                      <w:szCs w:val="20"/>
                    </w:rPr>
                    <w:object w:dxaOrig="1080" w:dyaOrig="1050" w14:anchorId="1B279CA2">
                      <v:shape id="_x0000_i1028" type="#_x0000_t75" style="width:23.4pt;height:23.4pt" o:ole="">
                        <v:imagedata r:id="rId14" o:title=""/>
                      </v:shape>
                      <o:OLEObject Type="Embed" ProgID="PBrush" ShapeID="_x0000_i1028" DrawAspect="Content" ObjectID="_1649761835" r:id="rId15"/>
                    </w:object>
                  </w:r>
                </w:p>
              </w:tc>
              <w:tc>
                <w:tcPr>
                  <w:tcW w:w="6860" w:type="dxa"/>
                </w:tcPr>
                <w:p w14:paraId="5B3CF61B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Запрет на повторное использование</w:t>
                  </w:r>
                </w:p>
              </w:tc>
            </w:tr>
            <w:tr w:rsidR="00976284" w:rsidRPr="00976284" w14:paraId="55DF548D" w14:textId="77777777" w:rsidTr="00D56994">
              <w:tc>
                <w:tcPr>
                  <w:tcW w:w="1362" w:type="dxa"/>
                </w:tcPr>
                <w:p w14:paraId="2203FA7F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sz w:val="20"/>
                      <w:szCs w:val="20"/>
                    </w:rPr>
                    <w:object w:dxaOrig="1245" w:dyaOrig="1230" w14:anchorId="59B0B430">
                      <v:shape id="_x0000_i1029" type="#_x0000_t75" style="width:23.4pt;height:23.4pt" o:ole="">
                        <v:imagedata r:id="rId16" o:title=""/>
                      </v:shape>
                      <o:OLEObject Type="Embed" ProgID="PBrush" ShapeID="_x0000_i1029" DrawAspect="Content" ObjectID="_1649761836" r:id="rId17"/>
                    </w:object>
                  </w:r>
                </w:p>
              </w:tc>
              <w:tc>
                <w:tcPr>
                  <w:tcW w:w="6860" w:type="dxa"/>
                </w:tcPr>
                <w:p w14:paraId="0DAD8BF8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Не использовать при повреждении упаковки</w:t>
                  </w:r>
                </w:p>
              </w:tc>
            </w:tr>
            <w:tr w:rsidR="00976284" w:rsidRPr="00976284" w14:paraId="474C94E8" w14:textId="77777777" w:rsidTr="00D56994">
              <w:tc>
                <w:tcPr>
                  <w:tcW w:w="1362" w:type="dxa"/>
                </w:tcPr>
                <w:p w14:paraId="73BB8C8C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sz w:val="20"/>
                      <w:szCs w:val="20"/>
                    </w:rPr>
                    <w:object w:dxaOrig="1425" w:dyaOrig="645" w14:anchorId="6AFD7E43">
                      <v:shape id="_x0000_i1030" type="#_x0000_t75" style="width:43.95pt;height:20.55pt" o:ole="">
                        <v:imagedata r:id="rId18" o:title=""/>
                      </v:shape>
                      <o:OLEObject Type="Embed" ProgID="PBrush" ShapeID="_x0000_i1030" DrawAspect="Content" ObjectID="_1649761837" r:id="rId19"/>
                    </w:object>
                  </w:r>
                </w:p>
              </w:tc>
              <w:tc>
                <w:tcPr>
                  <w:tcW w:w="6860" w:type="dxa"/>
                </w:tcPr>
                <w:p w14:paraId="7D0BC334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Стерилизация паром</w:t>
                  </w:r>
                </w:p>
              </w:tc>
            </w:tr>
            <w:tr w:rsidR="00976284" w:rsidRPr="00976284" w14:paraId="7CE66C45" w14:textId="77777777" w:rsidTr="00D56994">
              <w:tc>
                <w:tcPr>
                  <w:tcW w:w="1362" w:type="dxa"/>
                </w:tcPr>
                <w:p w14:paraId="5FF95B3A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sz w:val="20"/>
                      <w:szCs w:val="20"/>
                    </w:rPr>
                    <w:object w:dxaOrig="1365" w:dyaOrig="1095" w14:anchorId="19E1AE9A">
                      <v:shape id="_x0000_i1031" type="#_x0000_t75" style="width:27.1pt;height:20.55pt" o:ole="">
                        <v:imagedata r:id="rId20" o:title=""/>
                      </v:shape>
                      <o:OLEObject Type="Embed" ProgID="PBrush" ShapeID="_x0000_i1031" DrawAspect="Content" ObjectID="_1649761838" r:id="rId21"/>
                    </w:object>
                  </w:r>
                </w:p>
              </w:tc>
              <w:tc>
                <w:tcPr>
                  <w:tcW w:w="6860" w:type="dxa"/>
                </w:tcPr>
                <w:p w14:paraId="7C2D9CD4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Обратитесь к инструкции по применению</w:t>
                  </w:r>
                </w:p>
              </w:tc>
            </w:tr>
            <w:tr w:rsidR="00976284" w:rsidRPr="00976284" w14:paraId="54E5CE12" w14:textId="77777777" w:rsidTr="00D56994">
              <w:tc>
                <w:tcPr>
                  <w:tcW w:w="1362" w:type="dxa"/>
                </w:tcPr>
                <w:p w14:paraId="2ED48BA1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DCD1EF4" wp14:editId="7129599E">
                        <wp:extent cx="304913" cy="301924"/>
                        <wp:effectExtent l="0" t="0" r="0" b="317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201" cy="309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60" w:type="dxa"/>
                </w:tcPr>
                <w:p w14:paraId="2AFD5D02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Осторожно! Обратитесь к инструкции по применению</w:t>
                  </w:r>
                </w:p>
              </w:tc>
            </w:tr>
            <w:tr w:rsidR="00976284" w:rsidRPr="00976284" w14:paraId="201726CC" w14:textId="77777777" w:rsidTr="00D56994">
              <w:tc>
                <w:tcPr>
                  <w:tcW w:w="1362" w:type="dxa"/>
                </w:tcPr>
                <w:p w14:paraId="0F1F7929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hAnsi="Arial" w:cs="Arial"/>
                      <w:sz w:val="20"/>
                      <w:szCs w:val="20"/>
                    </w:rPr>
                    <w:object w:dxaOrig="1365" w:dyaOrig="915" w14:anchorId="01F410E8">
                      <v:shape id="_x0000_i1032" type="#_x0000_t75" style="width:27.1pt;height:16.85pt" o:ole="">
                        <v:imagedata r:id="rId23" o:title=""/>
                      </v:shape>
                      <o:OLEObject Type="Embed" ProgID="PBrush" ShapeID="_x0000_i1032" DrawAspect="Content" ObjectID="_1649761839" r:id="rId24"/>
                    </w:object>
                  </w:r>
                </w:p>
              </w:tc>
              <w:tc>
                <w:tcPr>
                  <w:tcW w:w="6860" w:type="dxa"/>
                </w:tcPr>
                <w:p w14:paraId="4577CD98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Код партии</w:t>
                  </w:r>
                </w:p>
              </w:tc>
            </w:tr>
            <w:tr w:rsidR="00976284" w:rsidRPr="00976284" w14:paraId="6206B85D" w14:textId="77777777" w:rsidTr="00D56994">
              <w:tc>
                <w:tcPr>
                  <w:tcW w:w="1362" w:type="dxa"/>
                </w:tcPr>
                <w:p w14:paraId="33382D23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A6000A7" wp14:editId="3005E30E">
                        <wp:extent cx="306900" cy="21566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945" cy="2234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60" w:type="dxa"/>
                </w:tcPr>
                <w:p w14:paraId="0D286711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Номер по каталогу</w:t>
                  </w:r>
                </w:p>
              </w:tc>
            </w:tr>
            <w:tr w:rsidR="00976284" w:rsidRPr="00976284" w14:paraId="4CD35DF8" w14:textId="77777777" w:rsidTr="00D56994">
              <w:tc>
                <w:tcPr>
                  <w:tcW w:w="1362" w:type="dxa"/>
                </w:tcPr>
                <w:p w14:paraId="36DBA2AD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hAnsi="Arial" w:cs="Arial"/>
                      <w:sz w:val="20"/>
                      <w:szCs w:val="20"/>
                    </w:rPr>
                    <w:object w:dxaOrig="2370" w:dyaOrig="2250" w14:anchorId="0B394849">
                      <v:shape id="_x0000_i1033" type="#_x0000_t75" style="width:27.1pt;height:25.25pt" o:ole="">
                        <v:imagedata r:id="rId26" o:title=""/>
                      </v:shape>
                      <o:OLEObject Type="Embed" ProgID="PBrush" ShapeID="_x0000_i1033" DrawAspect="Content" ObjectID="_1649761840" r:id="rId27"/>
                    </w:object>
                  </w:r>
                </w:p>
              </w:tc>
              <w:tc>
                <w:tcPr>
                  <w:tcW w:w="6860" w:type="dxa"/>
                </w:tcPr>
                <w:p w14:paraId="22FC86FD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Не допускать воздействия солнечного света</w:t>
                  </w:r>
                </w:p>
              </w:tc>
            </w:tr>
            <w:tr w:rsidR="00976284" w:rsidRPr="00976284" w14:paraId="61B9BED1" w14:textId="77777777" w:rsidTr="00D56994">
              <w:tc>
                <w:tcPr>
                  <w:tcW w:w="1362" w:type="dxa"/>
                </w:tcPr>
                <w:p w14:paraId="63C8C690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CE46880" wp14:editId="1189DD3B">
                        <wp:extent cx="306705" cy="318790"/>
                        <wp:effectExtent l="0" t="0" r="0" b="508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191" cy="326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60" w:type="dxa"/>
                </w:tcPr>
                <w:p w14:paraId="2876697E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Беречь от влаги</w:t>
                  </w:r>
                </w:p>
              </w:tc>
            </w:tr>
            <w:tr w:rsidR="00976284" w:rsidRPr="00976284" w14:paraId="243EFB39" w14:textId="77777777" w:rsidTr="00D56994">
              <w:tc>
                <w:tcPr>
                  <w:tcW w:w="1362" w:type="dxa"/>
                </w:tcPr>
                <w:p w14:paraId="2DDA5309" w14:textId="7F3AA98D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sz w:val="20"/>
                      <w:szCs w:val="20"/>
                    </w:rPr>
                    <w:object w:dxaOrig="1800" w:dyaOrig="1860" w14:anchorId="2F96CE3F">
                      <v:shape id="_x0000_i1034" type="#_x0000_t75" style="width:19.65pt;height:18.7pt" o:ole="">
                        <v:imagedata r:id="rId29" o:title=""/>
                      </v:shape>
                      <o:OLEObject Type="Embed" ProgID="PBrush" ShapeID="_x0000_i1034" DrawAspect="Content" ObjectID="_1649761841" r:id="rId30"/>
                    </w:object>
                  </w:r>
                </w:p>
              </w:tc>
              <w:tc>
                <w:tcPr>
                  <w:tcW w:w="6860" w:type="dxa"/>
                </w:tcPr>
                <w:p w14:paraId="2BB04475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Не замораживать</w:t>
                  </w:r>
                </w:p>
              </w:tc>
            </w:tr>
            <w:tr w:rsidR="00976284" w:rsidRPr="00976284" w14:paraId="357C01EB" w14:textId="77777777" w:rsidTr="00D56994">
              <w:tc>
                <w:tcPr>
                  <w:tcW w:w="1362" w:type="dxa"/>
                </w:tcPr>
                <w:p w14:paraId="1F386E75" w14:textId="77777777" w:rsidR="00434EDD" w:rsidRPr="00976284" w:rsidRDefault="00434EDD" w:rsidP="00C136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6284">
                    <w:rPr>
                      <w:rFonts w:ascii="Arial" w:hAnsi="Arial" w:cs="Arial"/>
                      <w:sz w:val="20"/>
                      <w:szCs w:val="20"/>
                    </w:rPr>
                    <w:object w:dxaOrig="1320" w:dyaOrig="1170" w14:anchorId="47731A6C">
                      <v:shape id="_x0000_i1035" type="#_x0000_t75" style="width:27.1pt;height:24.3pt" o:ole="">
                        <v:imagedata r:id="rId31" o:title=""/>
                      </v:shape>
                      <o:OLEObject Type="Embed" ProgID="PBrush" ShapeID="_x0000_i1035" DrawAspect="Content" ObjectID="_1649761842" r:id="rId32"/>
                    </w:object>
                  </w:r>
                </w:p>
              </w:tc>
              <w:tc>
                <w:tcPr>
                  <w:tcW w:w="6860" w:type="dxa"/>
                </w:tcPr>
                <w:p w14:paraId="52F2538C" w14:textId="77777777" w:rsidR="00434EDD" w:rsidRPr="00976284" w:rsidRDefault="00434EDD" w:rsidP="00C1367F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</w:pPr>
                  <w:r w:rsidRPr="00976284">
                    <w:rPr>
                      <w:rFonts w:ascii="Arial" w:eastAsia="Times New Roman" w:hAnsi="Arial" w:cs="Arial"/>
                      <w:sz w:val="20"/>
                      <w:szCs w:val="20"/>
                      <w:lang w:bidi="ru-RU"/>
                    </w:rPr>
                    <w:t>Знак соответствия при декларировании соответствия в системе ГОСТ</w:t>
                  </w:r>
                </w:p>
              </w:tc>
            </w:tr>
          </w:tbl>
          <w:p w14:paraId="36C2B196" w14:textId="25CDABFD" w:rsidR="00434EDD" w:rsidRPr="00976284" w:rsidRDefault="00434EDD" w:rsidP="00C1367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284" w:rsidRPr="00976284" w14:paraId="1845CDA3" w14:textId="77777777" w:rsidTr="00434EDD">
        <w:tc>
          <w:tcPr>
            <w:tcW w:w="9634" w:type="dxa"/>
          </w:tcPr>
          <w:p w14:paraId="3B1CEEF4" w14:textId="3EE04288" w:rsidR="00434EDD" w:rsidRPr="00976284" w:rsidRDefault="00434EDD" w:rsidP="000D179F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Гарантии</w:t>
            </w:r>
          </w:p>
          <w:p w14:paraId="3C9E7A7F" w14:textId="6E6F3D55" w:rsidR="00434EDD" w:rsidRPr="00976284" w:rsidRDefault="00434EDD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Гарантийный срок соответствует сроку годности изделия. Срок годности медицинского изделия составляет 3,5 года.</w:t>
            </w:r>
          </w:p>
          <w:p w14:paraId="26CE36AD" w14:textId="77777777" w:rsidR="00434EDD" w:rsidRPr="00976284" w:rsidRDefault="00434EDD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Производитель гарантирует качество изделий и соответствие заявленным техническим спецификациям в течение всего срока годности при соблюдении условий эксплуатации, транспортирования и хранения. Производитель или его уполномоченный представитель предоставляет информацию и рекомендации в отношении рисков, а также предписания, методы и технические приемы для применения изделия.</w:t>
            </w:r>
          </w:p>
          <w:p w14:paraId="50144AD6" w14:textId="77777777" w:rsidR="00434EDD" w:rsidRPr="00976284" w:rsidRDefault="00434EDD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Компания-производитель снимает с себя всю ответственность и отказывается от гарантийных обязательств в связи с травмами пациента или ущербом, который может иметь место в результате:</w:t>
            </w:r>
          </w:p>
          <w:p w14:paraId="3587D23A" w14:textId="77777777" w:rsidR="00434EDD" w:rsidRPr="00976284" w:rsidRDefault="00434EDD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1. Выбранного способа применения и технического приема введения импланта при несоблюдении установленных рекомендаций.</w:t>
            </w:r>
          </w:p>
          <w:p w14:paraId="3698D6C9" w14:textId="77777777" w:rsidR="00434EDD" w:rsidRPr="00976284" w:rsidRDefault="00434EDD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2. Неподходящего назначения, выбора использования для конкретного пациента.</w:t>
            </w:r>
          </w:p>
          <w:p w14:paraId="5CE6AB48" w14:textId="20749D16" w:rsidR="00434EDD" w:rsidRPr="00976284" w:rsidRDefault="00434EDD" w:rsidP="000D179F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3. Использования изделия после истечения указанного срока годности или при нарушениях правил хранения и транспортировки.</w:t>
            </w:r>
          </w:p>
        </w:tc>
      </w:tr>
      <w:tr w:rsidR="00976284" w:rsidRPr="005B07A3" w14:paraId="7A58B1B6" w14:textId="77777777" w:rsidTr="00434EDD">
        <w:tc>
          <w:tcPr>
            <w:tcW w:w="9634" w:type="dxa"/>
          </w:tcPr>
          <w:p w14:paraId="05EC4E47" w14:textId="77777777" w:rsidR="00434EDD" w:rsidRPr="00976284" w:rsidRDefault="00434EDD" w:rsidP="00167628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Изготовитель и дистрибьютор:</w:t>
            </w:r>
          </w:p>
          <w:p w14:paraId="5583BE47" w14:textId="77777777" w:rsidR="00434EDD" w:rsidRPr="00976284" w:rsidRDefault="00434EDD" w:rsidP="00167628">
            <w:pPr>
              <w:pStyle w:val="a0"/>
              <w:ind w:left="551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 xml:space="preserve">«АЛЬБОМЕД </w:t>
            </w:r>
            <w:proofErr w:type="spellStart"/>
            <w:r w:rsidRPr="00976284">
              <w:rPr>
                <w:rFonts w:ascii="Arial" w:hAnsi="Arial" w:cs="Arial"/>
                <w:b/>
                <w:sz w:val="18"/>
                <w:szCs w:val="18"/>
              </w:rPr>
              <w:t>ГмбХ</w:t>
            </w:r>
            <w:proofErr w:type="spellEnd"/>
            <w:r w:rsidRPr="00976284">
              <w:rPr>
                <w:rFonts w:ascii="Arial" w:hAnsi="Arial" w:cs="Arial"/>
                <w:b/>
                <w:sz w:val="18"/>
                <w:szCs w:val="18"/>
              </w:rPr>
              <w:t xml:space="preserve">», </w:t>
            </w:r>
            <w:r w:rsidRPr="00976284">
              <w:rPr>
                <w:rFonts w:ascii="Arial" w:hAnsi="Arial" w:cs="Arial"/>
                <w:sz w:val="18"/>
                <w:szCs w:val="18"/>
              </w:rPr>
              <w:t>Германия</w:t>
            </w:r>
          </w:p>
          <w:p w14:paraId="3A278462" w14:textId="77777777" w:rsidR="00434EDD" w:rsidRPr="00976284" w:rsidRDefault="00434EDD" w:rsidP="00167628">
            <w:pPr>
              <w:autoSpaceDE w:val="0"/>
              <w:autoSpaceDN w:val="0"/>
              <w:adjustRightInd w:val="0"/>
              <w:ind w:left="551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76284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ALBOMED GmbH,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>Hildebrandstrasse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 xml:space="preserve"> 11, 90592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>Schwarzenbruck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>, Germany</w:t>
            </w:r>
          </w:p>
          <w:p w14:paraId="190E6E3C" w14:textId="77777777" w:rsidR="00434EDD" w:rsidRPr="00976284" w:rsidRDefault="00434EDD" w:rsidP="00167628">
            <w:pPr>
              <w:pStyle w:val="a0"/>
              <w:ind w:left="551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Тел</w:t>
            </w:r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 xml:space="preserve">.: +49 (0) 9183-95 69 82-0; </w:t>
            </w:r>
            <w:r w:rsidRPr="00976284">
              <w:rPr>
                <w:rFonts w:ascii="Arial" w:hAnsi="Arial" w:cs="Arial"/>
                <w:sz w:val="18"/>
                <w:szCs w:val="18"/>
              </w:rPr>
              <w:t>факс</w:t>
            </w:r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>: +49 (0) 9183-95 69 82-9</w:t>
            </w:r>
          </w:p>
          <w:p w14:paraId="59A7A3F9" w14:textId="77777777" w:rsidR="00434EDD" w:rsidRPr="00976284" w:rsidRDefault="005B07A3" w:rsidP="00167628">
            <w:pPr>
              <w:pStyle w:val="a0"/>
              <w:ind w:left="551"/>
              <w:rPr>
                <w:rFonts w:ascii="Arial" w:hAnsi="Arial" w:cs="Arial"/>
                <w:sz w:val="18"/>
                <w:szCs w:val="18"/>
                <w:lang w:val="de-DE"/>
              </w:rPr>
            </w:pPr>
            <w:hyperlink r:id="rId33" w:history="1">
              <w:r w:rsidR="00434EDD" w:rsidRPr="00976284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de-DE"/>
                </w:rPr>
                <w:t>info@albomed.eu</w:t>
              </w:r>
            </w:hyperlink>
          </w:p>
          <w:p w14:paraId="5D289E95" w14:textId="0F4A7FCC" w:rsidR="00434EDD" w:rsidRPr="00976284" w:rsidRDefault="00434EDD" w:rsidP="00167628">
            <w:pPr>
              <w:pStyle w:val="a0"/>
              <w:ind w:left="551"/>
              <w:rPr>
                <w:b/>
                <w:lang w:val="de-DE"/>
              </w:rPr>
            </w:pPr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>www.albomed.eu</w:t>
            </w:r>
          </w:p>
        </w:tc>
      </w:tr>
      <w:tr w:rsidR="00976284" w:rsidRPr="00976284" w14:paraId="7522868C" w14:textId="77777777" w:rsidTr="00434EDD">
        <w:tc>
          <w:tcPr>
            <w:tcW w:w="9634" w:type="dxa"/>
          </w:tcPr>
          <w:p w14:paraId="4CA4D893" w14:textId="77777777" w:rsidR="00434EDD" w:rsidRPr="00976284" w:rsidRDefault="00434EDD" w:rsidP="00C136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6284">
              <w:rPr>
                <w:rFonts w:ascii="Arial" w:hAnsi="Arial" w:cs="Arial"/>
                <w:b/>
                <w:sz w:val="18"/>
                <w:szCs w:val="18"/>
              </w:rPr>
              <w:t>Уполномоченный представитель производителя в России</w:t>
            </w:r>
          </w:p>
          <w:p w14:paraId="6B154B14" w14:textId="77777777" w:rsidR="00434EDD" w:rsidRPr="00976284" w:rsidRDefault="00434EDD" w:rsidP="00C1367F">
            <w:pPr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Общество с ограниченной ответственностью «МКНТ Импорт» (ООО «МКНТ Импорт»)</w:t>
            </w:r>
          </w:p>
          <w:p w14:paraId="2AEE29A4" w14:textId="77777777" w:rsidR="00434EDD" w:rsidRPr="00976284" w:rsidRDefault="00434EDD" w:rsidP="00C1367F">
            <w:pPr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Адрес: Россия, 119071, Москва, ул. Орджоникидзе, д. 12, стр. 2.</w:t>
            </w:r>
          </w:p>
          <w:p w14:paraId="2216135C" w14:textId="3B25FE2E" w:rsidR="00434EDD" w:rsidRPr="00976284" w:rsidRDefault="00434EDD" w:rsidP="00C1367F">
            <w:pPr>
              <w:shd w:val="clear" w:color="auto" w:fill="FFFFFF"/>
              <w:outlineLvl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Тел</w:t>
            </w:r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 xml:space="preserve">.: +7 495 786-39-63;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hyperlink r:id="rId34" w:history="1">
              <w:r w:rsidRPr="00976284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lang w:val="de-DE"/>
                </w:rPr>
                <w:t>regulation@mcnt.ru</w:t>
              </w:r>
            </w:hyperlink>
          </w:p>
          <w:p w14:paraId="74BF9776" w14:textId="43F18577" w:rsidR="00434EDD" w:rsidRPr="00976284" w:rsidRDefault="00434EDD" w:rsidP="0039718F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 xml:space="preserve">Уполномоченный представитель производителя в России наделен правами обеспечения процессов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прослеживаемости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продукции и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послерегистрационного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мониторинга безопасности медицинского изделия в целях выявления и предотвращения побочных действий, не указанных в инструкции по применению, нежелательных реакций при применении медицинского изделия, особенностей взаимодействия медицинских изделий между собой, фактов и обстоятельств, создающих угрозу жизни и здоровью граждан и медицинских работников. Для выполнения данных функций ООО «МКНТ Импорт», действуя в качестве уполномоченного представителя, или/и его доверенные лица наделены правом собирать </w:t>
            </w:r>
            <w:proofErr w:type="spellStart"/>
            <w:r w:rsidRPr="00976284">
              <w:rPr>
                <w:rFonts w:ascii="Arial" w:hAnsi="Arial" w:cs="Arial"/>
                <w:sz w:val="18"/>
                <w:szCs w:val="18"/>
              </w:rPr>
              <w:t>послерегистрационные</w:t>
            </w:r>
            <w:proofErr w:type="spellEnd"/>
            <w:r w:rsidRPr="00976284">
              <w:rPr>
                <w:rFonts w:ascii="Arial" w:hAnsi="Arial" w:cs="Arial"/>
                <w:sz w:val="18"/>
                <w:szCs w:val="18"/>
              </w:rPr>
              <w:t xml:space="preserve"> данные, доводить до субъектов обращения информацию по безопасности, вовлекаться в мероприятия по выполнению корректирующих  и превентивных действий, а также заключать соответствующие соглашения по обмену данными в отношении этой продукции, если это не противоречит законодательству Российской Федерации и </w:t>
            </w:r>
            <w:r w:rsidRPr="00976284">
              <w:rPr>
                <w:rFonts w:ascii="Arial" w:hAnsi="Arial" w:cs="Arial"/>
                <w:sz w:val="18"/>
                <w:szCs w:val="18"/>
              </w:rPr>
              <w:lastRenderedPageBreak/>
              <w:t>Евразийского Экономического Союза.</w:t>
            </w:r>
          </w:p>
        </w:tc>
      </w:tr>
      <w:tr w:rsidR="00976284" w:rsidRPr="005B07A3" w14:paraId="107F32D0" w14:textId="77777777" w:rsidTr="00434EDD">
        <w:tc>
          <w:tcPr>
            <w:tcW w:w="9634" w:type="dxa"/>
          </w:tcPr>
          <w:p w14:paraId="49084269" w14:textId="7D9B6E3B" w:rsidR="00434EDD" w:rsidRPr="00976284" w:rsidRDefault="00434EDD" w:rsidP="00FC14B7">
            <w:pPr>
              <w:pStyle w:val="a0"/>
              <w:rPr>
                <w:rFonts w:ascii="Arial" w:hAnsi="Arial" w:cs="Arial"/>
                <w:sz w:val="18"/>
                <w:szCs w:val="18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lastRenderedPageBreak/>
              <w:t xml:space="preserve">Регистрационное удостоверение в России № </w:t>
            </w:r>
            <w:r w:rsidR="00D56994" w:rsidRPr="00D56994">
              <w:rPr>
                <w:rFonts w:ascii="Arial" w:hAnsi="Arial" w:cs="Arial"/>
                <w:sz w:val="18"/>
                <w:szCs w:val="18"/>
                <w:lang w:val="de-DE"/>
              </w:rPr>
              <w:t>РЗН 2020/10124</w:t>
            </w:r>
            <w:r w:rsidRPr="00976284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r w:rsidR="00D56994" w:rsidRPr="00D56994">
              <w:rPr>
                <w:rFonts w:ascii="Arial" w:hAnsi="Arial" w:cs="Arial"/>
                <w:sz w:val="18"/>
                <w:szCs w:val="18"/>
              </w:rPr>
              <w:t>29.04.2020</w:t>
            </w:r>
            <w:r w:rsidR="00D56994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  <w:p w14:paraId="0A1987E6" w14:textId="5CE88CFC" w:rsidR="00434EDD" w:rsidRPr="00976284" w:rsidRDefault="00434EDD" w:rsidP="00FC14B7">
            <w:pPr>
              <w:pStyle w:val="a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76284">
              <w:rPr>
                <w:rFonts w:ascii="Arial" w:hAnsi="Arial" w:cs="Arial"/>
                <w:sz w:val="18"/>
                <w:szCs w:val="18"/>
              </w:rPr>
              <w:t>Список</w:t>
            </w:r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976284">
              <w:rPr>
                <w:rFonts w:ascii="Arial" w:hAnsi="Arial" w:cs="Arial"/>
                <w:sz w:val="18"/>
                <w:szCs w:val="18"/>
              </w:rPr>
              <w:t>стандартов</w:t>
            </w:r>
            <w:r w:rsidRPr="00976284">
              <w:rPr>
                <w:rFonts w:ascii="Arial" w:hAnsi="Arial" w:cs="Arial"/>
                <w:sz w:val="18"/>
                <w:szCs w:val="18"/>
                <w:lang w:val="de-DE"/>
              </w:rPr>
              <w:t>: EN ISO 14630; EN ISO 10993-1; EN ISO 10993-5; EN ISO 10993-10; EN ISO 10993-12; EN ISO 17665-1; EN 556-1:2001/AC:2006; EN ISO 11737-1:2006/AC:2009; EN 11737-2; EN ISO 14698-1; EN ISO 14698-2:2003/AC:2006; EN ISO 11607-1:2009; EN 868-3; EN ISO 15223-1; EN 980; EN 1041:2008+A1:2013; EN ISO 14971; EN ISO 13485; MEDDEV 2.7.1.</w:t>
            </w:r>
          </w:p>
        </w:tc>
      </w:tr>
    </w:tbl>
    <w:p w14:paraId="1C9FDC98" w14:textId="77777777" w:rsidR="00D22C55" w:rsidRPr="00976284" w:rsidRDefault="00D22C55" w:rsidP="00D56994">
      <w:pPr>
        <w:pStyle w:val="a0"/>
        <w:rPr>
          <w:rFonts w:ascii="Arial" w:hAnsi="Arial" w:cs="Arial"/>
          <w:sz w:val="18"/>
          <w:szCs w:val="18"/>
          <w:lang w:val="de-DE"/>
        </w:rPr>
      </w:pPr>
    </w:p>
    <w:sectPr w:rsidR="00D22C55" w:rsidRPr="00976284" w:rsidSect="00DF37E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8F4"/>
    <w:multiLevelType w:val="hybridMultilevel"/>
    <w:tmpl w:val="857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42AD4"/>
    <w:multiLevelType w:val="hybridMultilevel"/>
    <w:tmpl w:val="292C0A38"/>
    <w:lvl w:ilvl="0" w:tplc="84C4B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C0E59"/>
    <w:multiLevelType w:val="hybridMultilevel"/>
    <w:tmpl w:val="223E12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9570C"/>
    <w:multiLevelType w:val="hybridMultilevel"/>
    <w:tmpl w:val="4D3A2FD6"/>
    <w:lvl w:ilvl="0" w:tplc="F99EE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F4AFD"/>
    <w:multiLevelType w:val="hybridMultilevel"/>
    <w:tmpl w:val="3CAA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C9"/>
    <w:rsid w:val="00005CF2"/>
    <w:rsid w:val="00011DC3"/>
    <w:rsid w:val="00016DB2"/>
    <w:rsid w:val="00026E9B"/>
    <w:rsid w:val="000278A7"/>
    <w:rsid w:val="00030142"/>
    <w:rsid w:val="00037AA4"/>
    <w:rsid w:val="000465E5"/>
    <w:rsid w:val="00057F0E"/>
    <w:rsid w:val="00062FBA"/>
    <w:rsid w:val="00072470"/>
    <w:rsid w:val="0009081C"/>
    <w:rsid w:val="00093D5F"/>
    <w:rsid w:val="000A04A0"/>
    <w:rsid w:val="000A0CB5"/>
    <w:rsid w:val="000A0D76"/>
    <w:rsid w:val="000A1977"/>
    <w:rsid w:val="000B169B"/>
    <w:rsid w:val="000C15F3"/>
    <w:rsid w:val="000D179F"/>
    <w:rsid w:val="000D4357"/>
    <w:rsid w:val="000D467B"/>
    <w:rsid w:val="000E4078"/>
    <w:rsid w:val="000E687E"/>
    <w:rsid w:val="00104AE4"/>
    <w:rsid w:val="00112252"/>
    <w:rsid w:val="00130F5C"/>
    <w:rsid w:val="0013584E"/>
    <w:rsid w:val="00145553"/>
    <w:rsid w:val="00167628"/>
    <w:rsid w:val="001765CE"/>
    <w:rsid w:val="00177E2D"/>
    <w:rsid w:val="0018388B"/>
    <w:rsid w:val="00185902"/>
    <w:rsid w:val="00187479"/>
    <w:rsid w:val="00194909"/>
    <w:rsid w:val="001A5A90"/>
    <w:rsid w:val="001B5BD0"/>
    <w:rsid w:val="001B5C6B"/>
    <w:rsid w:val="001C05E5"/>
    <w:rsid w:val="001F33E4"/>
    <w:rsid w:val="00203E39"/>
    <w:rsid w:val="00206F22"/>
    <w:rsid w:val="00210474"/>
    <w:rsid w:val="002372D1"/>
    <w:rsid w:val="002408B5"/>
    <w:rsid w:val="00240FF4"/>
    <w:rsid w:val="0024217C"/>
    <w:rsid w:val="00256320"/>
    <w:rsid w:val="00267310"/>
    <w:rsid w:val="00267956"/>
    <w:rsid w:val="00280951"/>
    <w:rsid w:val="00294573"/>
    <w:rsid w:val="002A32E2"/>
    <w:rsid w:val="002A56EA"/>
    <w:rsid w:val="002B5516"/>
    <w:rsid w:val="002C6277"/>
    <w:rsid w:val="002D7FCF"/>
    <w:rsid w:val="002F7827"/>
    <w:rsid w:val="00313A08"/>
    <w:rsid w:val="00314503"/>
    <w:rsid w:val="0033240C"/>
    <w:rsid w:val="00332F49"/>
    <w:rsid w:val="003358FB"/>
    <w:rsid w:val="00362AEA"/>
    <w:rsid w:val="00362B36"/>
    <w:rsid w:val="0037694F"/>
    <w:rsid w:val="003828CC"/>
    <w:rsid w:val="00383AE0"/>
    <w:rsid w:val="00386A44"/>
    <w:rsid w:val="00393936"/>
    <w:rsid w:val="0039718F"/>
    <w:rsid w:val="003D21E2"/>
    <w:rsid w:val="003E2788"/>
    <w:rsid w:val="003F5522"/>
    <w:rsid w:val="003F622F"/>
    <w:rsid w:val="00402490"/>
    <w:rsid w:val="004274EA"/>
    <w:rsid w:val="00434EDD"/>
    <w:rsid w:val="004417DE"/>
    <w:rsid w:val="0044730C"/>
    <w:rsid w:val="00452486"/>
    <w:rsid w:val="0045266B"/>
    <w:rsid w:val="00457E71"/>
    <w:rsid w:val="00471766"/>
    <w:rsid w:val="00496691"/>
    <w:rsid w:val="004A10C8"/>
    <w:rsid w:val="004A395F"/>
    <w:rsid w:val="004D200B"/>
    <w:rsid w:val="004D4986"/>
    <w:rsid w:val="004E107F"/>
    <w:rsid w:val="004E228A"/>
    <w:rsid w:val="004E559D"/>
    <w:rsid w:val="005033E4"/>
    <w:rsid w:val="0051109F"/>
    <w:rsid w:val="00514113"/>
    <w:rsid w:val="00514BFC"/>
    <w:rsid w:val="00522380"/>
    <w:rsid w:val="005254F2"/>
    <w:rsid w:val="00532C78"/>
    <w:rsid w:val="00536E8F"/>
    <w:rsid w:val="00536FA6"/>
    <w:rsid w:val="00546F59"/>
    <w:rsid w:val="005574ED"/>
    <w:rsid w:val="00557E38"/>
    <w:rsid w:val="005A0221"/>
    <w:rsid w:val="005A5803"/>
    <w:rsid w:val="005B07A3"/>
    <w:rsid w:val="005D1408"/>
    <w:rsid w:val="005D7B8C"/>
    <w:rsid w:val="0060198B"/>
    <w:rsid w:val="00602B53"/>
    <w:rsid w:val="00611BF2"/>
    <w:rsid w:val="0061635C"/>
    <w:rsid w:val="00617D30"/>
    <w:rsid w:val="006225FE"/>
    <w:rsid w:val="00623F9B"/>
    <w:rsid w:val="006277DB"/>
    <w:rsid w:val="00640F0F"/>
    <w:rsid w:val="0067435F"/>
    <w:rsid w:val="0068211B"/>
    <w:rsid w:val="0068419C"/>
    <w:rsid w:val="00696838"/>
    <w:rsid w:val="006B15A5"/>
    <w:rsid w:val="006B1E42"/>
    <w:rsid w:val="006C409E"/>
    <w:rsid w:val="006F0773"/>
    <w:rsid w:val="006F199D"/>
    <w:rsid w:val="006F2DBA"/>
    <w:rsid w:val="006F49F8"/>
    <w:rsid w:val="007100FE"/>
    <w:rsid w:val="00721BD1"/>
    <w:rsid w:val="00724987"/>
    <w:rsid w:val="007342B2"/>
    <w:rsid w:val="00740F8C"/>
    <w:rsid w:val="0074592E"/>
    <w:rsid w:val="00757C85"/>
    <w:rsid w:val="00760417"/>
    <w:rsid w:val="00764A8C"/>
    <w:rsid w:val="00766287"/>
    <w:rsid w:val="00771181"/>
    <w:rsid w:val="00772C80"/>
    <w:rsid w:val="00777BE3"/>
    <w:rsid w:val="007829C2"/>
    <w:rsid w:val="007929BF"/>
    <w:rsid w:val="00792AD4"/>
    <w:rsid w:val="00797BB3"/>
    <w:rsid w:val="007A700E"/>
    <w:rsid w:val="007B34D1"/>
    <w:rsid w:val="007B6944"/>
    <w:rsid w:val="007E3B8C"/>
    <w:rsid w:val="007E4ED2"/>
    <w:rsid w:val="007F0F3D"/>
    <w:rsid w:val="007F6BEA"/>
    <w:rsid w:val="008014A4"/>
    <w:rsid w:val="00801F20"/>
    <w:rsid w:val="008151B3"/>
    <w:rsid w:val="00817A70"/>
    <w:rsid w:val="00817A8B"/>
    <w:rsid w:val="0082575D"/>
    <w:rsid w:val="00832FBA"/>
    <w:rsid w:val="0083347C"/>
    <w:rsid w:val="00866191"/>
    <w:rsid w:val="0087058E"/>
    <w:rsid w:val="00890F2A"/>
    <w:rsid w:val="00894688"/>
    <w:rsid w:val="0089483D"/>
    <w:rsid w:val="008A1989"/>
    <w:rsid w:val="008B2428"/>
    <w:rsid w:val="008C5F7B"/>
    <w:rsid w:val="008C6394"/>
    <w:rsid w:val="008D1163"/>
    <w:rsid w:val="008D3511"/>
    <w:rsid w:val="008D352D"/>
    <w:rsid w:val="008D41B6"/>
    <w:rsid w:val="009068D8"/>
    <w:rsid w:val="00906B8A"/>
    <w:rsid w:val="009148E5"/>
    <w:rsid w:val="00927E8C"/>
    <w:rsid w:val="009343A0"/>
    <w:rsid w:val="00940DEC"/>
    <w:rsid w:val="00947A6B"/>
    <w:rsid w:val="009571FF"/>
    <w:rsid w:val="009604F0"/>
    <w:rsid w:val="00970D85"/>
    <w:rsid w:val="00971EAD"/>
    <w:rsid w:val="00974C92"/>
    <w:rsid w:val="00976284"/>
    <w:rsid w:val="009A2018"/>
    <w:rsid w:val="009B0269"/>
    <w:rsid w:val="009B68C9"/>
    <w:rsid w:val="009C2856"/>
    <w:rsid w:val="009C3A7A"/>
    <w:rsid w:val="009C74B5"/>
    <w:rsid w:val="009C7A7D"/>
    <w:rsid w:val="009F3368"/>
    <w:rsid w:val="009F7863"/>
    <w:rsid w:val="00A024CB"/>
    <w:rsid w:val="00A03863"/>
    <w:rsid w:val="00A072C8"/>
    <w:rsid w:val="00A14F5A"/>
    <w:rsid w:val="00A42CFD"/>
    <w:rsid w:val="00A43564"/>
    <w:rsid w:val="00A44FE8"/>
    <w:rsid w:val="00A57884"/>
    <w:rsid w:val="00A665CF"/>
    <w:rsid w:val="00A6712E"/>
    <w:rsid w:val="00A73E52"/>
    <w:rsid w:val="00A9401C"/>
    <w:rsid w:val="00A9736A"/>
    <w:rsid w:val="00AA344A"/>
    <w:rsid w:val="00AB1CF1"/>
    <w:rsid w:val="00AD7566"/>
    <w:rsid w:val="00AE71C8"/>
    <w:rsid w:val="00AF1FBA"/>
    <w:rsid w:val="00B11656"/>
    <w:rsid w:val="00B30849"/>
    <w:rsid w:val="00B3274F"/>
    <w:rsid w:val="00B3699B"/>
    <w:rsid w:val="00B51624"/>
    <w:rsid w:val="00B52588"/>
    <w:rsid w:val="00B55AC9"/>
    <w:rsid w:val="00B862E3"/>
    <w:rsid w:val="00B90DD4"/>
    <w:rsid w:val="00B911FD"/>
    <w:rsid w:val="00B93AB9"/>
    <w:rsid w:val="00BA753D"/>
    <w:rsid w:val="00BC02E7"/>
    <w:rsid w:val="00BC1B1B"/>
    <w:rsid w:val="00BD5E34"/>
    <w:rsid w:val="00BD7042"/>
    <w:rsid w:val="00BE3A47"/>
    <w:rsid w:val="00BF0602"/>
    <w:rsid w:val="00C12654"/>
    <w:rsid w:val="00C1367F"/>
    <w:rsid w:val="00C152FF"/>
    <w:rsid w:val="00C2629D"/>
    <w:rsid w:val="00C34FE9"/>
    <w:rsid w:val="00C36AB3"/>
    <w:rsid w:val="00C46988"/>
    <w:rsid w:val="00C52333"/>
    <w:rsid w:val="00C527C8"/>
    <w:rsid w:val="00C668ED"/>
    <w:rsid w:val="00C70182"/>
    <w:rsid w:val="00C74945"/>
    <w:rsid w:val="00C76307"/>
    <w:rsid w:val="00C77FB2"/>
    <w:rsid w:val="00C92B5E"/>
    <w:rsid w:val="00CA58D0"/>
    <w:rsid w:val="00CA64D6"/>
    <w:rsid w:val="00CB6F1A"/>
    <w:rsid w:val="00CD1495"/>
    <w:rsid w:val="00CD56BB"/>
    <w:rsid w:val="00CD7423"/>
    <w:rsid w:val="00CE0D9E"/>
    <w:rsid w:val="00CE0FB0"/>
    <w:rsid w:val="00CE61D9"/>
    <w:rsid w:val="00CF4E3A"/>
    <w:rsid w:val="00CF58E1"/>
    <w:rsid w:val="00D15D8B"/>
    <w:rsid w:val="00D22C55"/>
    <w:rsid w:val="00D252DE"/>
    <w:rsid w:val="00D41DB8"/>
    <w:rsid w:val="00D5008E"/>
    <w:rsid w:val="00D56994"/>
    <w:rsid w:val="00D70219"/>
    <w:rsid w:val="00D97699"/>
    <w:rsid w:val="00DA3A28"/>
    <w:rsid w:val="00DC02F9"/>
    <w:rsid w:val="00DC67CE"/>
    <w:rsid w:val="00DD5ABD"/>
    <w:rsid w:val="00DE7154"/>
    <w:rsid w:val="00DF27D6"/>
    <w:rsid w:val="00DF3952"/>
    <w:rsid w:val="00DF45FD"/>
    <w:rsid w:val="00E02943"/>
    <w:rsid w:val="00E103D3"/>
    <w:rsid w:val="00E12754"/>
    <w:rsid w:val="00E17477"/>
    <w:rsid w:val="00E23066"/>
    <w:rsid w:val="00E32734"/>
    <w:rsid w:val="00E40DD2"/>
    <w:rsid w:val="00E67050"/>
    <w:rsid w:val="00EA5697"/>
    <w:rsid w:val="00EB2C62"/>
    <w:rsid w:val="00EB4C3A"/>
    <w:rsid w:val="00EC69D3"/>
    <w:rsid w:val="00ED1410"/>
    <w:rsid w:val="00ED3EC0"/>
    <w:rsid w:val="00F057C0"/>
    <w:rsid w:val="00F10485"/>
    <w:rsid w:val="00F15BE9"/>
    <w:rsid w:val="00F20724"/>
    <w:rsid w:val="00F274EF"/>
    <w:rsid w:val="00F30491"/>
    <w:rsid w:val="00F319D2"/>
    <w:rsid w:val="00F4264B"/>
    <w:rsid w:val="00F45451"/>
    <w:rsid w:val="00F45BA0"/>
    <w:rsid w:val="00F568B6"/>
    <w:rsid w:val="00F60085"/>
    <w:rsid w:val="00F72B61"/>
    <w:rsid w:val="00F7778B"/>
    <w:rsid w:val="00F9788A"/>
    <w:rsid w:val="00FA00F8"/>
    <w:rsid w:val="00FB65D4"/>
    <w:rsid w:val="00FB6943"/>
    <w:rsid w:val="00FB7766"/>
    <w:rsid w:val="00FC14B7"/>
    <w:rsid w:val="00FC3BA1"/>
    <w:rsid w:val="00FC550D"/>
    <w:rsid w:val="00FD2535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4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817A8B"/>
    <w:pPr>
      <w:keepNext/>
      <w:keepLines/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4FE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77E2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817A8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C34FE9"/>
    <w:rPr>
      <w:rFonts w:ascii="Times New Roman" w:eastAsiaTheme="majorEastAsia" w:hAnsi="Times New Roman" w:cstheme="majorBidi"/>
      <w:b/>
      <w:sz w:val="24"/>
      <w:szCs w:val="26"/>
    </w:rPr>
  </w:style>
  <w:style w:type="table" w:styleId="a4">
    <w:name w:val="Table Grid"/>
    <w:basedOn w:val="a2"/>
    <w:uiPriority w:val="39"/>
    <w:rsid w:val="00294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9148E5"/>
    <w:rPr>
      <w:color w:val="0563C1" w:themeColor="hyperlink"/>
      <w:u w:val="single"/>
    </w:rPr>
  </w:style>
  <w:style w:type="table" w:styleId="21">
    <w:name w:val="Table Simple 2"/>
    <w:basedOn w:val="a2"/>
    <w:rsid w:val="00601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B5BD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B5BD0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20">
    <w:name w:val="A2"/>
    <w:uiPriority w:val="99"/>
    <w:rsid w:val="001B5BD0"/>
    <w:rPr>
      <w:rFonts w:cs="Minion Pro"/>
      <w:color w:val="000000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CA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CA58D0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0D467B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semiHidden/>
    <w:rsid w:val="00005C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Normal (Web)"/>
    <w:basedOn w:val="a"/>
    <w:uiPriority w:val="99"/>
    <w:unhideWhenUsed/>
    <w:rsid w:val="00C1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1"/>
    <w:uiPriority w:val="99"/>
    <w:semiHidden/>
    <w:unhideWhenUsed/>
    <w:rsid w:val="0024217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4217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4217C"/>
    <w:rPr>
      <w:sz w:val="20"/>
      <w:szCs w:val="20"/>
    </w:rPr>
  </w:style>
  <w:style w:type="character" w:customStyle="1" w:styleId="7">
    <w:name w:val="Основной текст (7)_"/>
    <w:basedOn w:val="a1"/>
    <w:link w:val="70"/>
    <w:locked/>
    <w:rsid w:val="00434ED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4EDD"/>
    <w:pPr>
      <w:shd w:val="clear" w:color="auto" w:fill="FFFFFF"/>
      <w:spacing w:before="120" w:after="120" w:line="240" w:lineRule="auto"/>
      <w:jc w:val="both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4">
    <w:name w:val="Основной текст (4)_"/>
    <w:basedOn w:val="a1"/>
    <w:link w:val="40"/>
    <w:rsid w:val="00434EDD"/>
    <w:rPr>
      <w:rFonts w:ascii="Calibri" w:eastAsia="Calibri" w:hAnsi="Calibri" w:cs="Calibri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34EDD"/>
    <w:pPr>
      <w:shd w:val="clear" w:color="auto" w:fill="FFFFFF"/>
      <w:spacing w:before="120" w:after="120" w:line="266" w:lineRule="auto"/>
      <w:jc w:val="both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817A8B"/>
    <w:pPr>
      <w:keepNext/>
      <w:keepLines/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4FE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77E2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817A8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C34FE9"/>
    <w:rPr>
      <w:rFonts w:ascii="Times New Roman" w:eastAsiaTheme="majorEastAsia" w:hAnsi="Times New Roman" w:cstheme="majorBidi"/>
      <w:b/>
      <w:sz w:val="24"/>
      <w:szCs w:val="26"/>
    </w:rPr>
  </w:style>
  <w:style w:type="table" w:styleId="a4">
    <w:name w:val="Table Grid"/>
    <w:basedOn w:val="a2"/>
    <w:uiPriority w:val="39"/>
    <w:rsid w:val="00294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9148E5"/>
    <w:rPr>
      <w:color w:val="0563C1" w:themeColor="hyperlink"/>
      <w:u w:val="single"/>
    </w:rPr>
  </w:style>
  <w:style w:type="table" w:styleId="21">
    <w:name w:val="Table Simple 2"/>
    <w:basedOn w:val="a2"/>
    <w:rsid w:val="00601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B5BD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B5BD0"/>
    <w:pPr>
      <w:spacing w:line="241" w:lineRule="atLeast"/>
    </w:pPr>
    <w:rPr>
      <w:rFonts w:ascii="Minion Pro" w:hAnsi="Minion Pro" w:cstheme="minorBidi"/>
      <w:color w:val="auto"/>
    </w:rPr>
  </w:style>
  <w:style w:type="character" w:customStyle="1" w:styleId="A20">
    <w:name w:val="A2"/>
    <w:uiPriority w:val="99"/>
    <w:rsid w:val="001B5BD0"/>
    <w:rPr>
      <w:rFonts w:cs="Minion Pro"/>
      <w:color w:val="000000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CA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CA58D0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0D467B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semiHidden/>
    <w:rsid w:val="00005C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Normal (Web)"/>
    <w:basedOn w:val="a"/>
    <w:uiPriority w:val="99"/>
    <w:unhideWhenUsed/>
    <w:rsid w:val="00C1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1"/>
    <w:uiPriority w:val="99"/>
    <w:semiHidden/>
    <w:unhideWhenUsed/>
    <w:rsid w:val="0024217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4217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4217C"/>
    <w:rPr>
      <w:sz w:val="20"/>
      <w:szCs w:val="20"/>
    </w:rPr>
  </w:style>
  <w:style w:type="character" w:customStyle="1" w:styleId="7">
    <w:name w:val="Основной текст (7)_"/>
    <w:basedOn w:val="a1"/>
    <w:link w:val="70"/>
    <w:locked/>
    <w:rsid w:val="00434EDD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34EDD"/>
    <w:pPr>
      <w:shd w:val="clear" w:color="auto" w:fill="FFFFFF"/>
      <w:spacing w:before="120" w:after="120" w:line="240" w:lineRule="auto"/>
      <w:jc w:val="both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4">
    <w:name w:val="Основной текст (4)_"/>
    <w:basedOn w:val="a1"/>
    <w:link w:val="40"/>
    <w:rsid w:val="00434EDD"/>
    <w:rPr>
      <w:rFonts w:ascii="Calibri" w:eastAsia="Calibri" w:hAnsi="Calibri" w:cs="Calibri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34EDD"/>
    <w:pPr>
      <w:shd w:val="clear" w:color="auto" w:fill="FFFFFF"/>
      <w:spacing w:before="120" w:after="120" w:line="266" w:lineRule="auto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6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626">
          <w:marLeft w:val="180"/>
          <w:marRight w:val="12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9" Type="http://schemas.openxmlformats.org/officeDocument/2006/relationships/customXml" Target="../customXml/item3.xml"/><Relationship Id="rId21" Type="http://schemas.openxmlformats.org/officeDocument/2006/relationships/oleObject" Target="embeddings/oleObject7.bin"/><Relationship Id="rId34" Type="http://schemas.openxmlformats.org/officeDocument/2006/relationships/hyperlink" Target="mailto:regulation@mcnt.ru" TargetMode="External"/><Relationship Id="rId7" Type="http://schemas.openxmlformats.org/officeDocument/2006/relationships/oleObject" Target="embeddings/oleObject1.bin"/><Relationship Id="rId12" Type="http://schemas.openxmlformats.org/officeDocument/2006/relationships/image" Target="media/image4.jpeg"/><Relationship Id="rId17" Type="http://schemas.openxmlformats.org/officeDocument/2006/relationships/oleObject" Target="embeddings/oleObject5.bin"/><Relationship Id="rId25" Type="http://schemas.openxmlformats.org/officeDocument/2006/relationships/image" Target="media/image12.png"/><Relationship Id="rId33" Type="http://schemas.openxmlformats.org/officeDocument/2006/relationships/hyperlink" Target="mailto:info@albomed.eu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35EF6C3F924883BAE3C268F18E1D" ma:contentTypeVersion="17" ma:contentTypeDescription="Create a new document." ma:contentTypeScope="" ma:versionID="4842756d55a84d2e6f55f245b30b76b1">
  <xsd:schema xmlns:xsd="http://www.w3.org/2001/XMLSchema" xmlns:xs="http://www.w3.org/2001/XMLSchema" xmlns:p="http://schemas.microsoft.com/office/2006/metadata/properties" xmlns:ns1="http://schemas.microsoft.com/sharepoint/v3" xmlns:ns2="8d3ef60d-2c3d-4254-a462-ca393b3bd91e" xmlns:ns3="09983e00-9c89-40af-adb6-7061a8a8c823" targetNamespace="http://schemas.microsoft.com/office/2006/metadata/properties" ma:root="true" ma:fieldsID="fca946272ebc0c11cd31ba5164aae206" ns1:_="" ns2:_="" ns3:_="">
    <xsd:import namespace="http://schemas.microsoft.com/sharepoint/v3"/>
    <xsd:import namespace="8d3ef60d-2c3d-4254-a462-ca393b3bd91e"/>
    <xsd:import namespace="09983e00-9c89-40af-adb6-7061a8a8c8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1:PublishingStartDate" minOccurs="0"/>
                <xsd:element ref="ns1:PublishingExpirationDate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ef60d-2c3d-4254-a462-ca393b3bd9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83e00-9c89-40af-adb6-7061a8a8c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D3D223-A645-4ED4-BC36-45078CD90010}"/>
</file>

<file path=customXml/itemProps2.xml><?xml version="1.0" encoding="utf-8"?>
<ds:datastoreItem xmlns:ds="http://schemas.openxmlformats.org/officeDocument/2006/customXml" ds:itemID="{EBD01BC5-91D8-415D-9BC6-1F758B4A2AE4}"/>
</file>

<file path=customXml/itemProps3.xml><?xml version="1.0" encoding="utf-8"?>
<ds:datastoreItem xmlns:ds="http://schemas.openxmlformats.org/officeDocument/2006/customXml" ds:itemID="{AF8A9421-BBF8-4577-997E-EF494C35B9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2020-04-30T11:07:00Z</dcterms:created>
  <dcterms:modified xsi:type="dcterms:W3CDTF">2020-04-30T11:24:00Z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0x010100B42635EF6C3F924883BAE3C268F18E1D</vt:lpwstr>
  </property>
</Properties>
</file>